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73" w:rsidRDefault="00470773" w:rsidP="003D4804">
      <w:pPr>
        <w:jc w:val="center"/>
        <w:rPr>
          <w:b/>
          <w:sz w:val="28"/>
          <w:szCs w:val="28"/>
        </w:rPr>
      </w:pPr>
    </w:p>
    <w:p w:rsidR="00470773" w:rsidRPr="001F2ACC" w:rsidRDefault="00470773" w:rsidP="00470773">
      <w:pPr>
        <w:jc w:val="center"/>
        <w:rPr>
          <w:b/>
          <w:color w:val="4F81BD" w:themeColor="accent1"/>
          <w:sz w:val="28"/>
          <w:szCs w:val="32"/>
        </w:rPr>
      </w:pPr>
      <w:r w:rsidRPr="001F2ACC">
        <w:rPr>
          <w:b/>
          <w:color w:val="4F81BD" w:themeColor="accent1"/>
          <w:sz w:val="28"/>
          <w:szCs w:val="32"/>
        </w:rPr>
        <w:t>*** Press release: for immediate release ***</w:t>
      </w:r>
    </w:p>
    <w:p w:rsidR="002634BF" w:rsidRDefault="00D84C69" w:rsidP="00D84C69">
      <w:pPr>
        <w:jc w:val="center"/>
        <w:rPr>
          <w:b/>
          <w:sz w:val="28"/>
          <w:szCs w:val="28"/>
        </w:rPr>
      </w:pPr>
      <w:r>
        <w:rPr>
          <w:b/>
          <w:sz w:val="28"/>
          <w:szCs w:val="28"/>
        </w:rPr>
        <w:t>German companies rolling in spare carbon allowances while carbon market fix hangs in the balance</w:t>
      </w:r>
      <w:r w:rsidR="002634BF">
        <w:rPr>
          <w:b/>
          <w:sz w:val="28"/>
          <w:szCs w:val="28"/>
        </w:rPr>
        <w:t xml:space="preserve"> </w:t>
      </w:r>
    </w:p>
    <w:p w:rsidR="002634BF" w:rsidRDefault="002634BF" w:rsidP="003D4804">
      <w:pPr>
        <w:jc w:val="both"/>
      </w:pPr>
      <w:r>
        <w:t>As MEPs prepare for a key vote on repairing Europe’s EU Emissions Trading Scheme next Tuesday, a new report released today finds that German manufacturing sectors have accrued spare carbon allowances equivalent to the annual emissions of Austria, while just ten companies have potentially profited  by as much as €1.2 billion from the scheme.</w:t>
      </w:r>
    </w:p>
    <w:p w:rsidR="007A5972" w:rsidRDefault="007A5972" w:rsidP="003D4804">
      <w:pPr>
        <w:jc w:val="both"/>
      </w:pPr>
      <w:r>
        <w:t>In recent months, the EU carbon price has dropped to record lows</w:t>
      </w:r>
      <w:r w:rsidR="001C04FA">
        <w:t xml:space="preserve"> of less than €5 (</w:t>
      </w:r>
      <w:r>
        <w:t>down from</w:t>
      </w:r>
      <w:r w:rsidR="001C04FA">
        <w:t xml:space="preserve"> more than €30 early in</w:t>
      </w:r>
      <w:r>
        <w:t xml:space="preserve"> 2008</w:t>
      </w:r>
      <w:r w:rsidR="001C04FA">
        <w:t>)</w:t>
      </w:r>
      <w:r>
        <w:t xml:space="preserve">, and is feared to crash even further if next week’s vote does is not passed successfully. The positioning of German MEPs and of the German government are crucial </w:t>
      </w:r>
      <w:r w:rsidR="00D84C69">
        <w:t xml:space="preserve">to successfully pass </w:t>
      </w:r>
      <w:r>
        <w:t>current proposals to withhold carbon allowances from auction and revive the carbon price; however German manufactur</w:t>
      </w:r>
      <w:r w:rsidR="00D84C69">
        <w:t xml:space="preserve">ers have been </w:t>
      </w:r>
      <w:r>
        <w:t>lobbying aggressively to block these reforms</w:t>
      </w:r>
      <w:r w:rsidR="00D84C69">
        <w:t>.</w:t>
      </w:r>
    </w:p>
    <w:p w:rsidR="00D16EC9" w:rsidRDefault="00D84C69" w:rsidP="00E66ED9">
      <w:pPr>
        <w:jc w:val="both"/>
      </w:pPr>
      <w:r>
        <w:t xml:space="preserve">Against this backdrop, </w:t>
      </w:r>
      <w:r w:rsidR="003F6168">
        <w:t xml:space="preserve">a </w:t>
      </w:r>
      <w:r>
        <w:t xml:space="preserve">new report </w:t>
      </w:r>
      <w:r w:rsidR="003F6168">
        <w:t xml:space="preserve">published </w:t>
      </w:r>
      <w:r>
        <w:t xml:space="preserve">by </w:t>
      </w:r>
      <w:r w:rsidR="00D16EC9">
        <w:t xml:space="preserve">the British climate NGO </w:t>
      </w:r>
      <w:r>
        <w:t xml:space="preserve">Sandbag, and </w:t>
      </w:r>
      <w:r w:rsidR="00D16EC9">
        <w:t>Friends of the Earth Germany (</w:t>
      </w:r>
      <w:r>
        <w:t>BUND</w:t>
      </w:r>
      <w:r w:rsidR="00D16EC9">
        <w:t xml:space="preserve">) </w:t>
      </w:r>
      <w:r>
        <w:t>finds that ten</w:t>
      </w:r>
      <w:r w:rsidR="00D16EC9">
        <w:t xml:space="preserve"> </w:t>
      </w:r>
      <w:r>
        <w:t xml:space="preserve">companies responsible for around half of Germany’s manufacturing emissions in the EU ETS, will </w:t>
      </w:r>
      <w:r w:rsidR="00D16EC9">
        <w:t xml:space="preserve">be protected against any rise in the carbon price </w:t>
      </w:r>
      <w:r w:rsidR="00D37220">
        <w:t xml:space="preserve">until </w:t>
      </w:r>
      <w:r w:rsidR="00D16EC9">
        <w:t>2020, even if their output and emissions return to pre-recession levels.</w:t>
      </w:r>
    </w:p>
    <w:p w:rsidR="00BD612F" w:rsidRDefault="00D37220" w:rsidP="00E66ED9">
      <w:pPr>
        <w:jc w:val="both"/>
      </w:pPr>
      <w:r>
        <w:t xml:space="preserve">Sandbag’s Damien Morris, author of the report said: </w:t>
      </w:r>
    </w:p>
    <w:p w:rsidR="003F6168" w:rsidRPr="00E66ED9" w:rsidRDefault="00BD612F" w:rsidP="00E66ED9">
      <w:pPr>
        <w:jc w:val="both"/>
      </w:pPr>
      <w:r w:rsidRPr="006F39F5">
        <w:rPr>
          <w:i/>
        </w:rPr>
        <w:t xml:space="preserve">“With the EU ETS now carrying some 2 billion spare allowances, the policy that was supposed to be the centerpiece of Europe’s climate efforts now promises to achieve nothing for most of the next decade. As Germany and the UK push ahead with ambitious domestic climate legislation it is essential that they </w:t>
      </w:r>
      <w:r w:rsidR="00313107" w:rsidRPr="006F39F5">
        <w:rPr>
          <w:i/>
        </w:rPr>
        <w:t xml:space="preserve">reduce the supply of allowances in </w:t>
      </w:r>
      <w:r w:rsidRPr="006F39F5">
        <w:rPr>
          <w:i/>
        </w:rPr>
        <w:t xml:space="preserve">the EU ETS in order to protect the integrity of </w:t>
      </w:r>
      <w:r w:rsidR="006F39F5">
        <w:rPr>
          <w:i/>
        </w:rPr>
        <w:t>their</w:t>
      </w:r>
      <w:r w:rsidRPr="006F39F5">
        <w:rPr>
          <w:i/>
        </w:rPr>
        <w:t xml:space="preserve"> efforts, and maintain a level playing field for business in Europe.</w:t>
      </w:r>
      <w:r w:rsidR="00313107" w:rsidRPr="006F39F5">
        <w:rPr>
          <w:i/>
        </w:rPr>
        <w:t xml:space="preserve"> The Parliamentary vote next week is an important first step towards this.</w:t>
      </w:r>
      <w:r w:rsidRPr="006F39F5">
        <w:rPr>
          <w:i/>
        </w:rPr>
        <w:t>”</w:t>
      </w:r>
    </w:p>
    <w:p w:rsidR="00E66ED9" w:rsidRPr="00E66ED9" w:rsidRDefault="00E66ED9" w:rsidP="00E66ED9">
      <w:pPr>
        <w:jc w:val="both"/>
      </w:pPr>
      <w:r>
        <w:t xml:space="preserve">Tina </w:t>
      </w:r>
      <w:proofErr w:type="spellStart"/>
      <w:r w:rsidRPr="00E66ED9">
        <w:t>Löffelsend</w:t>
      </w:r>
      <w:proofErr w:type="spellEnd"/>
      <w:r w:rsidRPr="00E66ED9">
        <w:t>, Climate and Energy expert at BUND adds:</w:t>
      </w:r>
    </w:p>
    <w:p w:rsidR="00E66ED9" w:rsidRPr="006F39F5" w:rsidRDefault="00E66ED9" w:rsidP="00E66ED9">
      <w:pPr>
        <w:shd w:val="clear" w:color="auto" w:fill="FFFFFF"/>
        <w:spacing w:line="240" w:lineRule="auto"/>
        <w:rPr>
          <w:i/>
        </w:rPr>
      </w:pPr>
      <w:r w:rsidRPr="00E66ED9">
        <w:rPr>
          <w:i/>
        </w:rPr>
        <w:t xml:space="preserve">"While German industry  dines out on spare carbon allowances, the Economics Minister Phillip </w:t>
      </w:r>
      <w:proofErr w:type="spellStart"/>
      <w:r w:rsidRPr="00E66ED9">
        <w:rPr>
          <w:i/>
        </w:rPr>
        <w:t>Rösler</w:t>
      </w:r>
      <w:proofErr w:type="spellEnd"/>
      <w:r w:rsidRPr="00E66ED9">
        <w:rPr>
          <w:i/>
        </w:rPr>
        <w:t xml:space="preserve"> continues to block the reform of the European emissions trading scheme. Chancellor Merkel must step in to break this stalemate</w:t>
      </w:r>
      <w:r>
        <w:rPr>
          <w:i/>
        </w:rPr>
        <w:t>.”</w:t>
      </w:r>
    </w:p>
    <w:p w:rsidR="006F39F5" w:rsidRDefault="006F39F5" w:rsidP="006F39F5">
      <w:pPr>
        <w:shd w:val="clear" w:color="auto" w:fill="FFFFFF"/>
        <w:jc w:val="both"/>
        <w:rPr>
          <w:b/>
        </w:rPr>
      </w:pPr>
      <w:r w:rsidRPr="00EA25BF">
        <w:rPr>
          <w:b/>
        </w:rPr>
        <w:t>ENDS</w:t>
      </w:r>
    </w:p>
    <w:p w:rsidR="006F39F5" w:rsidRDefault="006F39F5" w:rsidP="006F39F5">
      <w:pPr>
        <w:shd w:val="clear" w:color="auto" w:fill="FFFFFF"/>
        <w:jc w:val="both"/>
      </w:pPr>
      <w:r w:rsidRPr="006F39F5">
        <w:t xml:space="preserve">The report </w:t>
      </w:r>
      <w:proofErr w:type="spellStart"/>
      <w:r w:rsidRPr="006F39F5">
        <w:rPr>
          <w:i/>
          <w:u w:val="single"/>
        </w:rPr>
        <w:t>Der</w:t>
      </w:r>
      <w:proofErr w:type="spellEnd"/>
      <w:r w:rsidRPr="006F39F5">
        <w:rPr>
          <w:i/>
          <w:u w:val="single"/>
        </w:rPr>
        <w:t xml:space="preserve"> </w:t>
      </w:r>
      <w:proofErr w:type="spellStart"/>
      <w:r w:rsidRPr="006F39F5">
        <w:rPr>
          <w:i/>
          <w:u w:val="single"/>
        </w:rPr>
        <w:t>Klimagoldesel</w:t>
      </w:r>
      <w:proofErr w:type="spellEnd"/>
      <w:r w:rsidRPr="006F39F5">
        <w:rPr>
          <w:i/>
          <w:u w:val="single"/>
        </w:rPr>
        <w:t xml:space="preserve"> 2013: Carbon </w:t>
      </w:r>
      <w:proofErr w:type="spellStart"/>
      <w:r w:rsidRPr="006F39F5">
        <w:rPr>
          <w:i/>
          <w:u w:val="single"/>
        </w:rPr>
        <w:t>Fatcat</w:t>
      </w:r>
      <w:proofErr w:type="spellEnd"/>
      <w:r w:rsidRPr="006F39F5">
        <w:rPr>
          <w:i/>
          <w:u w:val="single"/>
        </w:rPr>
        <w:t xml:space="preserve"> Companies in Germany</w:t>
      </w:r>
      <w:r>
        <w:rPr>
          <w:i/>
        </w:rPr>
        <w:t xml:space="preserve"> </w:t>
      </w:r>
      <w:r>
        <w:t>can be found at:</w:t>
      </w:r>
    </w:p>
    <w:p w:rsidR="006F39F5" w:rsidRDefault="006F39F5" w:rsidP="00214F0C">
      <w:pPr>
        <w:shd w:val="clear" w:color="auto" w:fill="FFFFFF"/>
        <w:spacing w:after="0"/>
        <w:ind w:left="284"/>
        <w:jc w:val="both"/>
      </w:pPr>
      <w:r>
        <w:t xml:space="preserve">English: </w:t>
      </w:r>
      <w:hyperlink r:id="rId8" w:history="1">
        <w:r w:rsidRPr="006B0442">
          <w:rPr>
            <w:rStyle w:val="Hyperlink"/>
          </w:rPr>
          <w:t>http://www.sandbag.org.uk/site_media/pdfs/reports/Klimagoldesel2013_English_1.pdf</w:t>
        </w:r>
      </w:hyperlink>
      <w:r>
        <w:t xml:space="preserve"> </w:t>
      </w:r>
    </w:p>
    <w:p w:rsidR="006F39F5" w:rsidRDefault="006F39F5" w:rsidP="00214F0C">
      <w:pPr>
        <w:shd w:val="clear" w:color="auto" w:fill="FFFFFF"/>
        <w:spacing w:after="0"/>
        <w:ind w:left="284"/>
        <w:jc w:val="both"/>
      </w:pPr>
      <w:r>
        <w:t xml:space="preserve">German: </w:t>
      </w:r>
      <w:hyperlink r:id="rId9" w:tgtFrame="_blank" w:tooltip="http://bund.net/pdf/klimagoldesel2013" w:history="1">
        <w:r w:rsidRPr="006F39F5">
          <w:rPr>
            <w:rStyle w:val="Hyperlink"/>
          </w:rPr>
          <w:t>http://bund.net/pdf/klimagoldesel2013</w:t>
        </w:r>
      </w:hyperlink>
      <w:r>
        <w:t xml:space="preserve"> </w:t>
      </w:r>
      <w:r w:rsidRPr="006F39F5">
        <w:t xml:space="preserve"> </w:t>
      </w:r>
    </w:p>
    <w:p w:rsidR="00214F0C" w:rsidRDefault="00214F0C" w:rsidP="00214F0C">
      <w:pPr>
        <w:shd w:val="clear" w:color="auto" w:fill="FFFFFF"/>
        <w:spacing w:after="0"/>
        <w:jc w:val="both"/>
        <w:rPr>
          <w:b/>
        </w:rPr>
      </w:pPr>
    </w:p>
    <w:p w:rsidR="006F39F5" w:rsidRPr="00EA25BF" w:rsidRDefault="006F39F5" w:rsidP="006F39F5">
      <w:pPr>
        <w:shd w:val="clear" w:color="auto" w:fill="FFFFFF"/>
        <w:jc w:val="both"/>
        <w:rPr>
          <w:b/>
        </w:rPr>
      </w:pPr>
      <w:r w:rsidRPr="00EA25BF">
        <w:rPr>
          <w:b/>
        </w:rPr>
        <w:t>For more information please contact either:</w:t>
      </w:r>
    </w:p>
    <w:p w:rsidR="006F39F5" w:rsidRDefault="006F39F5" w:rsidP="006F39F5">
      <w:pPr>
        <w:shd w:val="clear" w:color="auto" w:fill="FFFFFF"/>
        <w:jc w:val="both"/>
      </w:pPr>
      <w:r>
        <w:t xml:space="preserve">Damien Morris, Senior Policy Advisor at Sandbag on: +44 791 466 9569 or </w:t>
      </w:r>
      <w:hyperlink r:id="rId10" w:history="1">
        <w:r w:rsidRPr="00EC3D01">
          <w:rPr>
            <w:rStyle w:val="Hyperlink"/>
          </w:rPr>
          <w:t>damien@sandbag.org.uk</w:t>
        </w:r>
      </w:hyperlink>
      <w:r>
        <w:t>, or</w:t>
      </w:r>
    </w:p>
    <w:p w:rsidR="006F39F5" w:rsidRDefault="006F39F5" w:rsidP="006F39F5">
      <w:pPr>
        <w:shd w:val="clear" w:color="auto" w:fill="FFFFFF"/>
        <w:jc w:val="both"/>
        <w:rPr>
          <w:rFonts w:ascii="Arial" w:hAnsi="Arial" w:cs="Arial"/>
          <w:color w:val="222222"/>
          <w:sz w:val="20"/>
          <w:szCs w:val="20"/>
        </w:rPr>
      </w:pPr>
      <w:r w:rsidRPr="00313107">
        <w:rPr>
          <w:lang w:val="en-GB"/>
        </w:rPr>
        <w:lastRenderedPageBreak/>
        <w:t xml:space="preserve">Tina </w:t>
      </w:r>
      <w:proofErr w:type="spellStart"/>
      <w:r w:rsidRPr="00313107">
        <w:rPr>
          <w:lang w:val="en-GB"/>
        </w:rPr>
        <w:t>Löffelsend</w:t>
      </w:r>
      <w:proofErr w:type="spellEnd"/>
      <w:r w:rsidRPr="00313107">
        <w:rPr>
          <w:lang w:val="en-GB"/>
        </w:rPr>
        <w:t xml:space="preserve">, BUND </w:t>
      </w:r>
      <w:r>
        <w:rPr>
          <w:lang w:val="en-GB"/>
        </w:rPr>
        <w:t>Climate and E</w:t>
      </w:r>
      <w:r w:rsidRPr="00313107">
        <w:rPr>
          <w:lang w:val="en-GB"/>
        </w:rPr>
        <w:t xml:space="preserve">nergy </w:t>
      </w:r>
      <w:r>
        <w:rPr>
          <w:lang w:val="en-GB"/>
        </w:rPr>
        <w:t>E</w:t>
      </w:r>
      <w:r w:rsidRPr="00313107">
        <w:rPr>
          <w:lang w:val="en-GB"/>
        </w:rPr>
        <w:t>xpert on</w:t>
      </w:r>
      <w:r>
        <w:rPr>
          <w:lang w:val="en-GB"/>
        </w:rPr>
        <w:t>:</w:t>
      </w:r>
      <w:r w:rsidRPr="00313107">
        <w:rPr>
          <w:lang w:val="en-GB"/>
        </w:rPr>
        <w:t xml:space="preserve"> +49 30 27586 433 </w:t>
      </w:r>
      <w:r>
        <w:rPr>
          <w:lang w:val="en-GB"/>
        </w:rPr>
        <w:t xml:space="preserve">or </w:t>
      </w:r>
      <w:hyperlink r:id="rId11" w:history="1">
        <w:r w:rsidRPr="006B0442">
          <w:rPr>
            <w:rStyle w:val="Hyperlink"/>
            <w:rFonts w:ascii="Arial" w:hAnsi="Arial" w:cs="Arial"/>
            <w:sz w:val="18"/>
            <w:szCs w:val="18"/>
            <w:shd w:val="clear" w:color="auto" w:fill="FFFFFF"/>
          </w:rPr>
          <w:t>tina.loeffelsend@bund.net</w:t>
        </w:r>
      </w:hyperlink>
      <w:r>
        <w:rPr>
          <w:rFonts w:ascii="Arial" w:hAnsi="Arial" w:cs="Arial"/>
          <w:color w:val="777777"/>
          <w:sz w:val="18"/>
          <w:szCs w:val="18"/>
          <w:shd w:val="clear" w:color="auto" w:fill="FFFFFF"/>
        </w:rPr>
        <w:t xml:space="preserve"> </w:t>
      </w:r>
    </w:p>
    <w:p w:rsidR="003F6168" w:rsidRPr="00812D9F" w:rsidRDefault="003F6168" w:rsidP="00E66ED9">
      <w:pPr>
        <w:spacing w:after="0"/>
        <w:ind w:left="-426"/>
        <w:rPr>
          <w:rFonts w:cs="Calibri"/>
          <w:b/>
        </w:rPr>
      </w:pPr>
      <w:r>
        <w:rPr>
          <w:rFonts w:cs="Calibri"/>
          <w:b/>
        </w:rPr>
        <w:t>German companies with the largest oversupply of free allowances (2008-2011)</w:t>
      </w:r>
      <w:r w:rsidR="00D16EC9">
        <w:rPr>
          <w:rStyle w:val="FootnoteReference"/>
          <w:rFonts w:cs="Calibri"/>
          <w:b/>
        </w:rPr>
        <w:footnoteReference w:id="1"/>
      </w:r>
    </w:p>
    <w:p w:rsidR="003F6168" w:rsidRDefault="003F6168" w:rsidP="003F6168">
      <w:pPr>
        <w:spacing w:after="0"/>
        <w:ind w:left="-426"/>
        <w:rPr>
          <w:rFonts w:cs="Calibri"/>
        </w:rPr>
      </w:pPr>
      <w:r>
        <w:rPr>
          <w:rFonts w:cs="Calibri"/>
          <w:noProof/>
          <w:lang w:val="en-GB" w:eastAsia="en-GB"/>
        </w:rPr>
        <w:drawing>
          <wp:inline distT="0" distB="0" distL="0" distR="0">
            <wp:extent cx="6467475" cy="2533650"/>
            <wp:effectExtent l="19050" t="0" r="9525"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207" w:type="dxa"/>
        <w:tblInd w:w="-318"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tblPr>
      <w:tblGrid>
        <w:gridCol w:w="2248"/>
        <w:gridCol w:w="1387"/>
        <w:gridCol w:w="1333"/>
        <w:gridCol w:w="1939"/>
        <w:gridCol w:w="1343"/>
        <w:gridCol w:w="1957"/>
      </w:tblGrid>
      <w:tr w:rsidR="003F6168" w:rsidRPr="00317FA9" w:rsidTr="00D16EC9">
        <w:trPr>
          <w:trHeight w:val="300"/>
        </w:trPr>
        <w:tc>
          <w:tcPr>
            <w:tcW w:w="2248" w:type="dxa"/>
            <w:noWrap/>
            <w:hideMark/>
          </w:tcPr>
          <w:p w:rsidR="003F6168" w:rsidRPr="00317FA9" w:rsidRDefault="003F6168" w:rsidP="00680F5D">
            <w:pPr>
              <w:spacing w:after="0" w:line="240" w:lineRule="auto"/>
              <w:rPr>
                <w:rFonts w:eastAsia="Times New Roman"/>
                <w:b/>
                <w:bCs/>
                <w:color w:val="365F91"/>
                <w:lang w:eastAsia="en-GB"/>
              </w:rPr>
            </w:pPr>
            <w:r w:rsidRPr="00317FA9">
              <w:rPr>
                <w:rFonts w:eastAsia="Times New Roman"/>
                <w:b/>
                <w:bCs/>
                <w:color w:val="365F91"/>
                <w:lang w:eastAsia="en-GB"/>
              </w:rPr>
              <w:t>Company</w:t>
            </w:r>
          </w:p>
        </w:tc>
        <w:tc>
          <w:tcPr>
            <w:tcW w:w="1387" w:type="dxa"/>
            <w:noWrap/>
            <w:hideMark/>
          </w:tcPr>
          <w:p w:rsidR="003F6168" w:rsidRPr="00317FA9" w:rsidRDefault="003F6168" w:rsidP="00680F5D">
            <w:pPr>
              <w:spacing w:after="0" w:line="240" w:lineRule="auto"/>
              <w:rPr>
                <w:rFonts w:eastAsia="Times New Roman"/>
                <w:b/>
                <w:bCs/>
                <w:color w:val="FF0000"/>
                <w:lang w:eastAsia="en-GB"/>
              </w:rPr>
            </w:pPr>
            <w:r w:rsidRPr="00317FA9">
              <w:rPr>
                <w:rFonts w:eastAsia="Times New Roman"/>
                <w:b/>
                <w:color w:val="FF0000"/>
                <w:lang w:eastAsia="en-GB"/>
              </w:rPr>
              <w:t>S</w:t>
            </w:r>
            <w:r w:rsidRPr="00317FA9">
              <w:rPr>
                <w:rFonts w:eastAsia="Times New Roman"/>
                <w:b/>
                <w:bCs/>
                <w:color w:val="FF0000"/>
                <w:lang w:eastAsia="en-GB"/>
              </w:rPr>
              <w:t>urplus</w:t>
            </w:r>
            <w:r w:rsidRPr="00317FA9">
              <w:rPr>
                <w:rFonts w:eastAsia="Times New Roman"/>
                <w:b/>
                <w:color w:val="FF0000"/>
                <w:lang w:eastAsia="en-GB"/>
              </w:rPr>
              <w:t xml:space="preserve"> for 2008-11</w:t>
            </w:r>
            <w:r w:rsidR="00D16EC9">
              <w:rPr>
                <w:rStyle w:val="FootnoteReference"/>
                <w:rFonts w:eastAsia="Times New Roman"/>
                <w:b/>
                <w:color w:val="FF0000"/>
                <w:lang w:eastAsia="en-GB"/>
              </w:rPr>
              <w:footnoteReference w:id="2"/>
            </w:r>
          </w:p>
        </w:tc>
        <w:tc>
          <w:tcPr>
            <w:tcW w:w="1333" w:type="dxa"/>
          </w:tcPr>
          <w:p w:rsidR="003F6168" w:rsidRPr="00317FA9" w:rsidRDefault="003F6168" w:rsidP="00680F5D">
            <w:pPr>
              <w:spacing w:after="0" w:line="240" w:lineRule="auto"/>
              <w:rPr>
                <w:rFonts w:eastAsia="Times New Roman"/>
                <w:b/>
                <w:bCs/>
                <w:color w:val="365F91"/>
                <w:lang w:eastAsia="en-GB"/>
              </w:rPr>
            </w:pPr>
            <w:r w:rsidRPr="00317FA9">
              <w:rPr>
                <w:rFonts w:eastAsia="Times New Roman"/>
                <w:b/>
                <w:bCs/>
                <w:color w:val="365F91"/>
                <w:lang w:eastAsia="en-GB"/>
              </w:rPr>
              <w:t>Emissions for 2008-11</w:t>
            </w:r>
          </w:p>
        </w:tc>
        <w:tc>
          <w:tcPr>
            <w:tcW w:w="1939" w:type="dxa"/>
            <w:noWrap/>
            <w:hideMark/>
          </w:tcPr>
          <w:p w:rsidR="003F6168" w:rsidRDefault="003F6168" w:rsidP="00680F5D">
            <w:pPr>
              <w:spacing w:after="0" w:line="240" w:lineRule="auto"/>
              <w:rPr>
                <w:rFonts w:eastAsia="Times New Roman"/>
                <w:b/>
                <w:bCs/>
                <w:color w:val="365F91"/>
                <w:lang w:eastAsia="en-GB"/>
              </w:rPr>
            </w:pPr>
            <w:r>
              <w:rPr>
                <w:rFonts w:eastAsia="Times New Roman"/>
                <w:b/>
                <w:bCs/>
                <w:color w:val="365F91"/>
                <w:lang w:eastAsia="en-GB"/>
              </w:rPr>
              <w:t xml:space="preserve">Free allowances </w:t>
            </w:r>
            <w:r w:rsidRPr="00317FA9">
              <w:rPr>
                <w:rFonts w:eastAsia="Times New Roman"/>
                <w:b/>
                <w:bCs/>
                <w:color w:val="365F91"/>
                <w:lang w:eastAsia="en-GB"/>
              </w:rPr>
              <w:t xml:space="preserve">as </w:t>
            </w:r>
          </w:p>
          <w:p w:rsidR="003F6168" w:rsidRPr="00317FA9" w:rsidRDefault="003F6168" w:rsidP="00680F5D">
            <w:pPr>
              <w:spacing w:after="0" w:line="240" w:lineRule="auto"/>
              <w:rPr>
                <w:rFonts w:eastAsia="Times New Roman"/>
                <w:b/>
                <w:bCs/>
                <w:color w:val="365F91"/>
                <w:lang w:eastAsia="en-GB"/>
              </w:rPr>
            </w:pPr>
            <w:r>
              <w:rPr>
                <w:rFonts w:eastAsia="Times New Roman"/>
                <w:b/>
                <w:bCs/>
                <w:color w:val="365F91"/>
                <w:lang w:eastAsia="en-GB"/>
              </w:rPr>
              <w:t>% of</w:t>
            </w:r>
            <w:r w:rsidRPr="00317FA9">
              <w:rPr>
                <w:rFonts w:eastAsia="Times New Roman"/>
                <w:b/>
                <w:bCs/>
                <w:color w:val="365F91"/>
                <w:lang w:eastAsia="en-GB"/>
              </w:rPr>
              <w:t xml:space="preserve"> emissions</w:t>
            </w:r>
          </w:p>
        </w:tc>
        <w:tc>
          <w:tcPr>
            <w:tcW w:w="1343" w:type="dxa"/>
          </w:tcPr>
          <w:p w:rsidR="003F6168" w:rsidRDefault="003F6168" w:rsidP="00680F5D">
            <w:pPr>
              <w:spacing w:after="0" w:line="240" w:lineRule="auto"/>
              <w:rPr>
                <w:rFonts w:eastAsia="Times New Roman"/>
                <w:b/>
                <w:bCs/>
                <w:color w:val="365F91"/>
                <w:lang w:eastAsia="en-GB"/>
              </w:rPr>
            </w:pPr>
            <w:r w:rsidRPr="00317FA9">
              <w:rPr>
                <w:rFonts w:eastAsia="Times New Roman"/>
                <w:b/>
                <w:bCs/>
                <w:color w:val="365F91"/>
                <w:lang w:eastAsia="en-GB"/>
              </w:rPr>
              <w:t>Offsets surrendered 2008-2011</w:t>
            </w:r>
            <w:r w:rsidR="00D16EC9">
              <w:rPr>
                <w:rStyle w:val="FootnoteReference"/>
                <w:rFonts w:eastAsia="Times New Roman"/>
                <w:b/>
                <w:bCs/>
                <w:color w:val="365F91"/>
                <w:lang w:eastAsia="en-GB"/>
              </w:rPr>
              <w:footnoteReference w:id="3"/>
            </w:r>
          </w:p>
        </w:tc>
        <w:tc>
          <w:tcPr>
            <w:tcW w:w="1957" w:type="dxa"/>
          </w:tcPr>
          <w:p w:rsidR="003F6168" w:rsidRPr="00317FA9" w:rsidRDefault="003F6168" w:rsidP="00680F5D">
            <w:pPr>
              <w:spacing w:after="0" w:line="240" w:lineRule="auto"/>
              <w:rPr>
                <w:rFonts w:eastAsia="Times New Roman"/>
                <w:b/>
                <w:bCs/>
                <w:color w:val="365F91"/>
                <w:lang w:eastAsia="en-GB"/>
              </w:rPr>
            </w:pPr>
            <w:r w:rsidRPr="00317FA9">
              <w:rPr>
                <w:rFonts w:eastAsia="Times New Roman"/>
                <w:b/>
                <w:bCs/>
                <w:color w:val="365F91"/>
                <w:lang w:eastAsia="en-GB"/>
              </w:rPr>
              <w:t>C</w:t>
            </w:r>
            <w:r>
              <w:rPr>
                <w:rFonts w:eastAsia="Times New Roman"/>
                <w:b/>
                <w:bCs/>
                <w:color w:val="365F91"/>
                <w:lang w:eastAsia="en-GB"/>
              </w:rPr>
              <w:t xml:space="preserve">ombined revenue potential over </w:t>
            </w:r>
            <w:r w:rsidRPr="00317FA9">
              <w:rPr>
                <w:rFonts w:eastAsia="Times New Roman"/>
                <w:b/>
                <w:bCs/>
                <w:color w:val="365F91"/>
                <w:lang w:eastAsia="en-GB"/>
              </w:rPr>
              <w:t>2008-2011</w:t>
            </w:r>
            <w:r w:rsidRPr="00317FA9">
              <w:rPr>
                <w:b/>
                <w:bCs/>
                <w:color w:val="365F91"/>
                <w:vertAlign w:val="superscript"/>
              </w:rPr>
              <w:footnoteReference w:id="4"/>
            </w:r>
          </w:p>
        </w:tc>
      </w:tr>
      <w:tr w:rsidR="003F6168" w:rsidRPr="00317FA9" w:rsidTr="00D16EC9">
        <w:trPr>
          <w:trHeight w:val="300"/>
        </w:trPr>
        <w:tc>
          <w:tcPr>
            <w:tcW w:w="2248" w:type="dxa"/>
            <w:shd w:val="clear" w:color="auto" w:fill="D3DFEE"/>
            <w:noWrap/>
            <w:vAlign w:val="center"/>
            <w:hideMark/>
          </w:tcPr>
          <w:p w:rsidR="003F6168" w:rsidRPr="00317FA9" w:rsidRDefault="003F6168" w:rsidP="00680F5D">
            <w:pPr>
              <w:spacing w:after="0" w:line="240" w:lineRule="auto"/>
              <w:rPr>
                <w:rFonts w:eastAsia="Times New Roman"/>
                <w:color w:val="000000"/>
                <w:lang w:eastAsia="en-GB"/>
              </w:rPr>
            </w:pPr>
            <w:proofErr w:type="spellStart"/>
            <w:r w:rsidRPr="00317FA9">
              <w:rPr>
                <w:rFonts w:eastAsia="Times New Roman"/>
                <w:color w:val="000000"/>
                <w:lang w:eastAsia="en-GB"/>
              </w:rPr>
              <w:t>ArcelorMittal</w:t>
            </w:r>
            <w:proofErr w:type="spellEnd"/>
          </w:p>
        </w:tc>
        <w:tc>
          <w:tcPr>
            <w:tcW w:w="1387" w:type="dxa"/>
            <w:shd w:val="clear" w:color="auto" w:fill="D3DFEE"/>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19,440,195</w:t>
            </w:r>
          </w:p>
        </w:tc>
        <w:tc>
          <w:tcPr>
            <w:tcW w:w="133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18,037,399</w:t>
            </w:r>
          </w:p>
        </w:tc>
        <w:tc>
          <w:tcPr>
            <w:tcW w:w="1939" w:type="dxa"/>
            <w:shd w:val="clear" w:color="auto" w:fill="D3DFEE"/>
            <w:noWrap/>
            <w:vAlign w:val="center"/>
            <w:hideMark/>
          </w:tcPr>
          <w:p w:rsidR="003F6168" w:rsidRPr="00317FA9" w:rsidRDefault="003F6168" w:rsidP="00680F5D">
            <w:pPr>
              <w:spacing w:after="0" w:line="240" w:lineRule="auto"/>
              <w:jc w:val="center"/>
              <w:rPr>
                <w:color w:val="000000"/>
              </w:rPr>
            </w:pPr>
            <w:r w:rsidRPr="00317FA9">
              <w:rPr>
                <w:color w:val="000000"/>
              </w:rPr>
              <w:t>208%</w:t>
            </w:r>
          </w:p>
        </w:tc>
        <w:tc>
          <w:tcPr>
            <w:tcW w:w="134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4,327,103</w:t>
            </w:r>
          </w:p>
        </w:tc>
        <w:tc>
          <w:tcPr>
            <w:tcW w:w="1957" w:type="dxa"/>
            <w:shd w:val="clear" w:color="auto" w:fill="D3DFEE"/>
            <w:vAlign w:val="center"/>
          </w:tcPr>
          <w:p w:rsidR="003F6168" w:rsidRPr="00317FA9" w:rsidRDefault="003F6168" w:rsidP="00680F5D">
            <w:pPr>
              <w:spacing w:after="0" w:line="240" w:lineRule="auto"/>
              <w:ind w:right="222"/>
              <w:jc w:val="right"/>
            </w:pPr>
            <w:r>
              <w:rPr>
                <w:color w:val="000000"/>
              </w:rPr>
              <w:t>€ 313,875,675</w:t>
            </w:r>
          </w:p>
        </w:tc>
      </w:tr>
      <w:tr w:rsidR="003F6168" w:rsidRPr="00317FA9" w:rsidTr="00D16EC9">
        <w:trPr>
          <w:trHeight w:val="300"/>
        </w:trPr>
        <w:tc>
          <w:tcPr>
            <w:tcW w:w="2248" w:type="dxa"/>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ROGESA</w:t>
            </w:r>
          </w:p>
        </w:tc>
        <w:tc>
          <w:tcPr>
            <w:tcW w:w="1387" w:type="dxa"/>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9,715,560</w:t>
            </w:r>
          </w:p>
        </w:tc>
        <w:tc>
          <w:tcPr>
            <w:tcW w:w="1333" w:type="dxa"/>
            <w:vAlign w:val="center"/>
          </w:tcPr>
          <w:p w:rsidR="003F6168" w:rsidRPr="00317FA9" w:rsidRDefault="003F6168" w:rsidP="00680F5D">
            <w:pPr>
              <w:spacing w:after="0" w:line="240" w:lineRule="auto"/>
              <w:jc w:val="right"/>
              <w:rPr>
                <w:color w:val="000000"/>
              </w:rPr>
            </w:pPr>
            <w:r w:rsidRPr="00317FA9">
              <w:rPr>
                <w:color w:val="000000"/>
              </w:rPr>
              <w:t>17,553,323</w:t>
            </w:r>
          </w:p>
        </w:tc>
        <w:tc>
          <w:tcPr>
            <w:tcW w:w="1939" w:type="dxa"/>
            <w:noWrap/>
            <w:vAlign w:val="center"/>
            <w:hideMark/>
          </w:tcPr>
          <w:p w:rsidR="003F6168" w:rsidRPr="00317FA9" w:rsidRDefault="003F6168" w:rsidP="00680F5D">
            <w:pPr>
              <w:spacing w:after="0" w:line="240" w:lineRule="auto"/>
              <w:jc w:val="center"/>
              <w:rPr>
                <w:color w:val="000000"/>
              </w:rPr>
            </w:pPr>
            <w:r w:rsidRPr="00317FA9">
              <w:rPr>
                <w:color w:val="000000"/>
              </w:rPr>
              <w:t>155%</w:t>
            </w:r>
          </w:p>
        </w:tc>
        <w:tc>
          <w:tcPr>
            <w:tcW w:w="1343" w:type="dxa"/>
            <w:vAlign w:val="center"/>
          </w:tcPr>
          <w:p w:rsidR="003F6168" w:rsidRPr="00317FA9" w:rsidRDefault="003F6168" w:rsidP="00680F5D">
            <w:pPr>
              <w:spacing w:after="0" w:line="240" w:lineRule="auto"/>
              <w:jc w:val="right"/>
              <w:rPr>
                <w:color w:val="000000"/>
              </w:rPr>
            </w:pPr>
            <w:r w:rsidRPr="00317FA9">
              <w:rPr>
                <w:color w:val="000000"/>
              </w:rPr>
              <w:t>4,929,235</w:t>
            </w:r>
          </w:p>
        </w:tc>
        <w:tc>
          <w:tcPr>
            <w:tcW w:w="1957" w:type="dxa"/>
            <w:vAlign w:val="center"/>
          </w:tcPr>
          <w:p w:rsidR="003F6168" w:rsidRPr="00317FA9" w:rsidRDefault="003F6168" w:rsidP="00680F5D">
            <w:pPr>
              <w:spacing w:after="0" w:line="240" w:lineRule="auto"/>
              <w:ind w:right="222"/>
              <w:jc w:val="right"/>
            </w:pPr>
            <w:r>
              <w:rPr>
                <w:color w:val="000000"/>
              </w:rPr>
              <w:t>€ 170,075,559</w:t>
            </w:r>
          </w:p>
        </w:tc>
      </w:tr>
      <w:tr w:rsidR="003F6168" w:rsidRPr="00317FA9" w:rsidTr="00D16EC9">
        <w:trPr>
          <w:trHeight w:val="300"/>
        </w:trPr>
        <w:tc>
          <w:tcPr>
            <w:tcW w:w="2248" w:type="dxa"/>
            <w:shd w:val="clear" w:color="auto" w:fill="D3DFEE"/>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Salzgitter</w:t>
            </w:r>
          </w:p>
        </w:tc>
        <w:tc>
          <w:tcPr>
            <w:tcW w:w="1387" w:type="dxa"/>
            <w:shd w:val="clear" w:color="auto" w:fill="D3DFEE"/>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9,442,356</w:t>
            </w:r>
          </w:p>
        </w:tc>
        <w:tc>
          <w:tcPr>
            <w:tcW w:w="133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28,902,024</w:t>
            </w:r>
          </w:p>
        </w:tc>
        <w:tc>
          <w:tcPr>
            <w:tcW w:w="1939" w:type="dxa"/>
            <w:shd w:val="clear" w:color="auto" w:fill="D3DFEE"/>
            <w:noWrap/>
            <w:vAlign w:val="center"/>
            <w:hideMark/>
          </w:tcPr>
          <w:p w:rsidR="003F6168" w:rsidRPr="00317FA9" w:rsidRDefault="003F6168" w:rsidP="00680F5D">
            <w:pPr>
              <w:spacing w:after="0" w:line="240" w:lineRule="auto"/>
              <w:jc w:val="center"/>
              <w:rPr>
                <w:color w:val="000000"/>
              </w:rPr>
            </w:pPr>
            <w:r w:rsidRPr="00317FA9">
              <w:rPr>
                <w:color w:val="000000"/>
              </w:rPr>
              <w:t>133%</w:t>
            </w:r>
          </w:p>
        </w:tc>
        <w:tc>
          <w:tcPr>
            <w:tcW w:w="134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8,289,705</w:t>
            </w:r>
          </w:p>
        </w:tc>
        <w:tc>
          <w:tcPr>
            <w:tcW w:w="1957" w:type="dxa"/>
            <w:shd w:val="clear" w:color="auto" w:fill="D3DFEE"/>
            <w:vAlign w:val="center"/>
          </w:tcPr>
          <w:p w:rsidR="003F6168" w:rsidRPr="00317FA9" w:rsidRDefault="003F6168" w:rsidP="00680F5D">
            <w:pPr>
              <w:spacing w:after="0" w:line="240" w:lineRule="auto"/>
              <w:ind w:right="222"/>
              <w:jc w:val="right"/>
            </w:pPr>
            <w:r>
              <w:rPr>
                <w:color w:val="000000"/>
              </w:rPr>
              <w:t>€ 175,331,769</w:t>
            </w:r>
          </w:p>
        </w:tc>
      </w:tr>
      <w:tr w:rsidR="003F6168" w:rsidRPr="00317FA9" w:rsidTr="00D16EC9">
        <w:trPr>
          <w:trHeight w:val="300"/>
        </w:trPr>
        <w:tc>
          <w:tcPr>
            <w:tcW w:w="2248" w:type="dxa"/>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ThyssenKrupp</w:t>
            </w:r>
          </w:p>
        </w:tc>
        <w:tc>
          <w:tcPr>
            <w:tcW w:w="1387" w:type="dxa"/>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8,967,829</w:t>
            </w:r>
          </w:p>
        </w:tc>
        <w:tc>
          <w:tcPr>
            <w:tcW w:w="1333" w:type="dxa"/>
            <w:vAlign w:val="center"/>
          </w:tcPr>
          <w:p w:rsidR="003F6168" w:rsidRPr="00317FA9" w:rsidRDefault="003F6168" w:rsidP="00680F5D">
            <w:pPr>
              <w:spacing w:after="0" w:line="240" w:lineRule="auto"/>
              <w:jc w:val="right"/>
              <w:rPr>
                <w:color w:val="000000"/>
              </w:rPr>
            </w:pPr>
            <w:r w:rsidRPr="00317FA9">
              <w:rPr>
                <w:color w:val="000000"/>
              </w:rPr>
              <w:t>62,502,246</w:t>
            </w:r>
          </w:p>
        </w:tc>
        <w:tc>
          <w:tcPr>
            <w:tcW w:w="1939" w:type="dxa"/>
            <w:noWrap/>
            <w:vAlign w:val="center"/>
            <w:hideMark/>
          </w:tcPr>
          <w:p w:rsidR="003F6168" w:rsidRPr="00317FA9" w:rsidRDefault="003F6168" w:rsidP="00680F5D">
            <w:pPr>
              <w:spacing w:after="0" w:line="240" w:lineRule="auto"/>
              <w:jc w:val="center"/>
              <w:rPr>
                <w:color w:val="000000"/>
              </w:rPr>
            </w:pPr>
            <w:r w:rsidRPr="00317FA9">
              <w:rPr>
                <w:color w:val="000000"/>
              </w:rPr>
              <w:t>114%</w:t>
            </w:r>
          </w:p>
        </w:tc>
        <w:tc>
          <w:tcPr>
            <w:tcW w:w="1343" w:type="dxa"/>
            <w:vAlign w:val="center"/>
          </w:tcPr>
          <w:p w:rsidR="003F6168" w:rsidRPr="00317FA9" w:rsidRDefault="003F6168" w:rsidP="00680F5D">
            <w:pPr>
              <w:spacing w:after="0" w:line="240" w:lineRule="auto"/>
              <w:jc w:val="right"/>
              <w:rPr>
                <w:color w:val="000000"/>
              </w:rPr>
            </w:pPr>
            <w:r w:rsidRPr="00317FA9">
              <w:rPr>
                <w:color w:val="000000"/>
              </w:rPr>
              <w:t>12,743,816</w:t>
            </w:r>
          </w:p>
        </w:tc>
        <w:tc>
          <w:tcPr>
            <w:tcW w:w="1957" w:type="dxa"/>
            <w:vAlign w:val="center"/>
          </w:tcPr>
          <w:p w:rsidR="003F6168" w:rsidRPr="00317FA9" w:rsidRDefault="003F6168" w:rsidP="00680F5D">
            <w:pPr>
              <w:spacing w:after="0" w:line="240" w:lineRule="auto"/>
              <w:ind w:right="222"/>
              <w:jc w:val="right"/>
            </w:pPr>
            <w:r>
              <w:rPr>
                <w:color w:val="000000"/>
              </w:rPr>
              <w:t>€ 189,831,422</w:t>
            </w:r>
          </w:p>
        </w:tc>
      </w:tr>
      <w:tr w:rsidR="003F6168" w:rsidRPr="00317FA9" w:rsidTr="00D16EC9">
        <w:trPr>
          <w:trHeight w:val="300"/>
        </w:trPr>
        <w:tc>
          <w:tcPr>
            <w:tcW w:w="2248" w:type="dxa"/>
            <w:shd w:val="clear" w:color="auto" w:fill="D3DFEE"/>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BASF</w:t>
            </w:r>
          </w:p>
        </w:tc>
        <w:tc>
          <w:tcPr>
            <w:tcW w:w="1387" w:type="dxa"/>
            <w:shd w:val="clear" w:color="auto" w:fill="D3DFEE"/>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3,863,408</w:t>
            </w:r>
          </w:p>
        </w:tc>
        <w:tc>
          <w:tcPr>
            <w:tcW w:w="133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21,593,299</w:t>
            </w:r>
          </w:p>
        </w:tc>
        <w:tc>
          <w:tcPr>
            <w:tcW w:w="1939" w:type="dxa"/>
            <w:shd w:val="clear" w:color="auto" w:fill="D3DFEE"/>
            <w:noWrap/>
            <w:vAlign w:val="center"/>
            <w:hideMark/>
          </w:tcPr>
          <w:p w:rsidR="003F6168" w:rsidRPr="00317FA9" w:rsidRDefault="003F6168" w:rsidP="00680F5D">
            <w:pPr>
              <w:spacing w:after="0" w:line="240" w:lineRule="auto"/>
              <w:jc w:val="center"/>
              <w:rPr>
                <w:color w:val="000000"/>
              </w:rPr>
            </w:pPr>
            <w:r w:rsidRPr="00317FA9">
              <w:rPr>
                <w:color w:val="000000"/>
              </w:rPr>
              <w:t>118%</w:t>
            </w:r>
          </w:p>
        </w:tc>
        <w:tc>
          <w:tcPr>
            <w:tcW w:w="134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2,468,999</w:t>
            </w:r>
          </w:p>
        </w:tc>
        <w:tc>
          <w:tcPr>
            <w:tcW w:w="1957" w:type="dxa"/>
            <w:shd w:val="clear" w:color="auto" w:fill="D3DFEE"/>
            <w:vAlign w:val="center"/>
          </w:tcPr>
          <w:p w:rsidR="003F6168" w:rsidRPr="00317FA9" w:rsidRDefault="003F6168" w:rsidP="00680F5D">
            <w:pPr>
              <w:spacing w:after="0" w:line="240" w:lineRule="auto"/>
              <w:ind w:right="222"/>
              <w:jc w:val="right"/>
            </w:pPr>
            <w:r>
              <w:rPr>
                <w:color w:val="000000"/>
              </w:rPr>
              <w:t>€ 71,721,819</w:t>
            </w:r>
          </w:p>
        </w:tc>
      </w:tr>
      <w:tr w:rsidR="003F6168" w:rsidRPr="00317FA9" w:rsidTr="00D16EC9">
        <w:trPr>
          <w:trHeight w:val="300"/>
        </w:trPr>
        <w:tc>
          <w:tcPr>
            <w:tcW w:w="2248" w:type="dxa"/>
            <w:noWrap/>
            <w:vAlign w:val="center"/>
            <w:hideMark/>
          </w:tcPr>
          <w:p w:rsidR="003F6168" w:rsidRPr="00317FA9" w:rsidRDefault="003F6168" w:rsidP="00680F5D">
            <w:pPr>
              <w:spacing w:after="0" w:line="240" w:lineRule="auto"/>
              <w:rPr>
                <w:rFonts w:eastAsia="Times New Roman"/>
                <w:color w:val="000000"/>
                <w:lang w:eastAsia="en-GB"/>
              </w:rPr>
            </w:pPr>
            <w:proofErr w:type="spellStart"/>
            <w:r w:rsidRPr="00317FA9">
              <w:rPr>
                <w:rFonts w:eastAsia="Times New Roman"/>
                <w:color w:val="000000"/>
                <w:lang w:eastAsia="en-GB"/>
              </w:rPr>
              <w:t>Rheinkalk</w:t>
            </w:r>
            <w:proofErr w:type="spellEnd"/>
            <w:r w:rsidRPr="00317FA9">
              <w:rPr>
                <w:rFonts w:eastAsia="Times New Roman"/>
                <w:color w:val="000000"/>
                <w:lang w:eastAsia="en-GB"/>
              </w:rPr>
              <w:t xml:space="preserve"> (</w:t>
            </w:r>
            <w:proofErr w:type="spellStart"/>
            <w:r w:rsidRPr="00317FA9">
              <w:rPr>
                <w:rFonts w:eastAsia="Times New Roman"/>
                <w:color w:val="000000"/>
                <w:lang w:eastAsia="en-GB"/>
              </w:rPr>
              <w:t>Lhoist</w:t>
            </w:r>
            <w:proofErr w:type="spellEnd"/>
            <w:r w:rsidRPr="00317FA9">
              <w:rPr>
                <w:rFonts w:eastAsia="Times New Roman"/>
                <w:color w:val="000000"/>
                <w:lang w:eastAsia="en-GB"/>
              </w:rPr>
              <w:t>)</w:t>
            </w:r>
          </w:p>
        </w:tc>
        <w:tc>
          <w:tcPr>
            <w:tcW w:w="1387" w:type="dxa"/>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3,817,020</w:t>
            </w:r>
          </w:p>
        </w:tc>
        <w:tc>
          <w:tcPr>
            <w:tcW w:w="1333" w:type="dxa"/>
            <w:vAlign w:val="center"/>
          </w:tcPr>
          <w:p w:rsidR="003F6168" w:rsidRPr="00317FA9" w:rsidRDefault="003F6168" w:rsidP="00680F5D">
            <w:pPr>
              <w:spacing w:after="0" w:line="240" w:lineRule="auto"/>
              <w:jc w:val="right"/>
              <w:rPr>
                <w:color w:val="000000"/>
              </w:rPr>
            </w:pPr>
            <w:r w:rsidRPr="00317FA9">
              <w:rPr>
                <w:color w:val="000000"/>
              </w:rPr>
              <w:t>12,488,192</w:t>
            </w:r>
          </w:p>
        </w:tc>
        <w:tc>
          <w:tcPr>
            <w:tcW w:w="1939" w:type="dxa"/>
            <w:noWrap/>
            <w:vAlign w:val="center"/>
            <w:hideMark/>
          </w:tcPr>
          <w:p w:rsidR="003F6168" w:rsidRPr="00317FA9" w:rsidRDefault="003F6168" w:rsidP="00680F5D">
            <w:pPr>
              <w:spacing w:after="0" w:line="240" w:lineRule="auto"/>
              <w:jc w:val="center"/>
              <w:rPr>
                <w:color w:val="000000"/>
              </w:rPr>
            </w:pPr>
            <w:r w:rsidRPr="00317FA9">
              <w:rPr>
                <w:color w:val="000000"/>
              </w:rPr>
              <w:t>131%</w:t>
            </w:r>
          </w:p>
        </w:tc>
        <w:tc>
          <w:tcPr>
            <w:tcW w:w="1343" w:type="dxa"/>
            <w:vAlign w:val="center"/>
          </w:tcPr>
          <w:p w:rsidR="003F6168" w:rsidRPr="00317FA9" w:rsidRDefault="003F6168" w:rsidP="00680F5D">
            <w:pPr>
              <w:spacing w:after="0" w:line="240" w:lineRule="auto"/>
              <w:jc w:val="right"/>
              <w:rPr>
                <w:color w:val="000000"/>
              </w:rPr>
            </w:pPr>
            <w:r w:rsidRPr="00317FA9">
              <w:rPr>
                <w:color w:val="000000"/>
              </w:rPr>
              <w:t>366,854</w:t>
            </w:r>
          </w:p>
        </w:tc>
        <w:tc>
          <w:tcPr>
            <w:tcW w:w="1957" w:type="dxa"/>
            <w:vAlign w:val="center"/>
          </w:tcPr>
          <w:p w:rsidR="003F6168" w:rsidRPr="00317FA9" w:rsidRDefault="003F6168" w:rsidP="00680F5D">
            <w:pPr>
              <w:spacing w:after="0" w:line="240" w:lineRule="auto"/>
              <w:ind w:right="222"/>
              <w:jc w:val="right"/>
            </w:pPr>
            <w:r>
              <w:rPr>
                <w:color w:val="000000"/>
              </w:rPr>
              <w:t>€ 60,191,001</w:t>
            </w:r>
          </w:p>
        </w:tc>
      </w:tr>
      <w:tr w:rsidR="003F6168" w:rsidRPr="00317FA9" w:rsidTr="00D16EC9">
        <w:trPr>
          <w:trHeight w:val="300"/>
        </w:trPr>
        <w:tc>
          <w:tcPr>
            <w:tcW w:w="2248" w:type="dxa"/>
            <w:shd w:val="clear" w:color="auto" w:fill="D3DFEE"/>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HKM</w:t>
            </w:r>
          </w:p>
        </w:tc>
        <w:tc>
          <w:tcPr>
            <w:tcW w:w="1387" w:type="dxa"/>
            <w:shd w:val="clear" w:color="auto" w:fill="D3DFEE"/>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3,673,549</w:t>
            </w:r>
          </w:p>
        </w:tc>
        <w:tc>
          <w:tcPr>
            <w:tcW w:w="133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17,175,952</w:t>
            </w:r>
          </w:p>
        </w:tc>
        <w:tc>
          <w:tcPr>
            <w:tcW w:w="1939" w:type="dxa"/>
            <w:shd w:val="clear" w:color="auto" w:fill="D3DFEE"/>
            <w:noWrap/>
            <w:vAlign w:val="center"/>
            <w:hideMark/>
          </w:tcPr>
          <w:p w:rsidR="003F6168" w:rsidRPr="00317FA9" w:rsidRDefault="003F6168" w:rsidP="00680F5D">
            <w:pPr>
              <w:spacing w:after="0" w:line="240" w:lineRule="auto"/>
              <w:jc w:val="center"/>
              <w:rPr>
                <w:color w:val="000000"/>
              </w:rPr>
            </w:pPr>
            <w:r w:rsidRPr="00317FA9">
              <w:rPr>
                <w:color w:val="000000"/>
              </w:rPr>
              <w:t>12</w:t>
            </w:r>
            <w:r>
              <w:rPr>
                <w:color w:val="000000"/>
              </w:rPr>
              <w:t>0</w:t>
            </w:r>
            <w:r w:rsidRPr="00317FA9">
              <w:rPr>
                <w:color w:val="000000"/>
              </w:rPr>
              <w:t>%</w:t>
            </w:r>
          </w:p>
        </w:tc>
        <w:tc>
          <w:tcPr>
            <w:tcW w:w="134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4,711,000</w:t>
            </w:r>
          </w:p>
        </w:tc>
        <w:tc>
          <w:tcPr>
            <w:tcW w:w="1957" w:type="dxa"/>
            <w:shd w:val="clear" w:color="auto" w:fill="D3DFEE"/>
            <w:vAlign w:val="center"/>
          </w:tcPr>
          <w:p w:rsidR="003F6168" w:rsidRPr="00317FA9" w:rsidRDefault="003F6168" w:rsidP="00680F5D">
            <w:pPr>
              <w:spacing w:after="0" w:line="240" w:lineRule="auto"/>
              <w:ind w:right="222"/>
              <w:jc w:val="right"/>
            </w:pPr>
            <w:r>
              <w:rPr>
                <w:color w:val="000000"/>
              </w:rPr>
              <w:t>€ 75,806,810</w:t>
            </w:r>
          </w:p>
        </w:tc>
      </w:tr>
      <w:tr w:rsidR="003F6168" w:rsidRPr="00317FA9" w:rsidTr="00D16EC9">
        <w:trPr>
          <w:trHeight w:val="300"/>
        </w:trPr>
        <w:tc>
          <w:tcPr>
            <w:tcW w:w="2248" w:type="dxa"/>
            <w:noWrap/>
            <w:vAlign w:val="center"/>
            <w:hideMark/>
          </w:tcPr>
          <w:p w:rsidR="003F6168" w:rsidRPr="00317FA9" w:rsidRDefault="003F6168" w:rsidP="00680F5D">
            <w:pPr>
              <w:spacing w:after="0" w:line="240" w:lineRule="auto"/>
              <w:rPr>
                <w:rFonts w:eastAsia="Times New Roman"/>
                <w:color w:val="000000"/>
                <w:lang w:eastAsia="en-GB"/>
              </w:rPr>
            </w:pPr>
            <w:proofErr w:type="spellStart"/>
            <w:r w:rsidRPr="00317FA9">
              <w:rPr>
                <w:rFonts w:eastAsia="Times New Roman"/>
                <w:color w:val="000000"/>
                <w:lang w:eastAsia="en-GB"/>
              </w:rPr>
              <w:t>Stadtwerke</w:t>
            </w:r>
            <w:proofErr w:type="spellEnd"/>
            <w:r w:rsidRPr="00317FA9">
              <w:rPr>
                <w:rFonts w:eastAsia="Times New Roman"/>
                <w:color w:val="000000"/>
                <w:lang w:eastAsia="en-GB"/>
              </w:rPr>
              <w:t xml:space="preserve"> </w:t>
            </w:r>
            <w:proofErr w:type="spellStart"/>
            <w:r w:rsidRPr="00317FA9">
              <w:rPr>
                <w:rFonts w:eastAsia="Times New Roman"/>
                <w:color w:val="000000"/>
                <w:lang w:eastAsia="en-GB"/>
              </w:rPr>
              <w:t>München</w:t>
            </w:r>
            <w:proofErr w:type="spellEnd"/>
          </w:p>
        </w:tc>
        <w:tc>
          <w:tcPr>
            <w:tcW w:w="1387" w:type="dxa"/>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2,900,217</w:t>
            </w:r>
          </w:p>
        </w:tc>
        <w:tc>
          <w:tcPr>
            <w:tcW w:w="1333" w:type="dxa"/>
            <w:vAlign w:val="center"/>
          </w:tcPr>
          <w:p w:rsidR="003F6168" w:rsidRPr="00317FA9" w:rsidRDefault="003F6168" w:rsidP="00680F5D">
            <w:pPr>
              <w:spacing w:after="0" w:line="240" w:lineRule="auto"/>
              <w:jc w:val="right"/>
              <w:rPr>
                <w:color w:val="000000"/>
              </w:rPr>
            </w:pPr>
            <w:r w:rsidRPr="00317FA9">
              <w:rPr>
                <w:color w:val="000000"/>
              </w:rPr>
              <w:t>13,338,789</w:t>
            </w:r>
          </w:p>
        </w:tc>
        <w:tc>
          <w:tcPr>
            <w:tcW w:w="1939" w:type="dxa"/>
            <w:noWrap/>
            <w:vAlign w:val="center"/>
            <w:hideMark/>
          </w:tcPr>
          <w:p w:rsidR="003F6168" w:rsidRPr="00317FA9" w:rsidRDefault="003F6168" w:rsidP="00680F5D">
            <w:pPr>
              <w:spacing w:after="0" w:line="240" w:lineRule="auto"/>
              <w:jc w:val="center"/>
              <w:rPr>
                <w:color w:val="000000"/>
              </w:rPr>
            </w:pPr>
            <w:r w:rsidRPr="00317FA9">
              <w:rPr>
                <w:color w:val="000000"/>
              </w:rPr>
              <w:t>122%</w:t>
            </w:r>
          </w:p>
        </w:tc>
        <w:tc>
          <w:tcPr>
            <w:tcW w:w="1343" w:type="dxa"/>
            <w:vAlign w:val="center"/>
          </w:tcPr>
          <w:p w:rsidR="003F6168" w:rsidRPr="00317FA9" w:rsidRDefault="003F6168" w:rsidP="00680F5D">
            <w:pPr>
              <w:spacing w:after="0" w:line="240" w:lineRule="auto"/>
              <w:jc w:val="right"/>
              <w:rPr>
                <w:color w:val="000000"/>
              </w:rPr>
            </w:pPr>
            <w:r w:rsidRPr="00317FA9">
              <w:rPr>
                <w:color w:val="000000"/>
              </w:rPr>
              <w:t>1,461,072</w:t>
            </w:r>
          </w:p>
        </w:tc>
        <w:tc>
          <w:tcPr>
            <w:tcW w:w="1957" w:type="dxa"/>
            <w:vAlign w:val="center"/>
          </w:tcPr>
          <w:p w:rsidR="003F6168" w:rsidRPr="00317FA9" w:rsidRDefault="003F6168" w:rsidP="00680F5D">
            <w:pPr>
              <w:spacing w:after="0" w:line="240" w:lineRule="auto"/>
              <w:ind w:right="222"/>
              <w:jc w:val="right"/>
            </w:pPr>
            <w:r>
              <w:rPr>
                <w:color w:val="000000"/>
              </w:rPr>
              <w:t>€ 49,044,365</w:t>
            </w:r>
          </w:p>
        </w:tc>
      </w:tr>
      <w:tr w:rsidR="003F6168" w:rsidRPr="00317FA9" w:rsidTr="00D16EC9">
        <w:trPr>
          <w:trHeight w:val="300"/>
        </w:trPr>
        <w:tc>
          <w:tcPr>
            <w:tcW w:w="2248" w:type="dxa"/>
            <w:shd w:val="clear" w:color="auto" w:fill="D3DFEE"/>
            <w:noWrap/>
            <w:vAlign w:val="center"/>
            <w:hideMark/>
          </w:tcPr>
          <w:p w:rsidR="003F6168" w:rsidRPr="00317FA9" w:rsidRDefault="003F6168" w:rsidP="00680F5D">
            <w:pPr>
              <w:spacing w:after="0" w:line="240" w:lineRule="auto"/>
              <w:rPr>
                <w:rFonts w:eastAsia="Times New Roman"/>
                <w:color w:val="000000"/>
                <w:lang w:eastAsia="en-GB"/>
              </w:rPr>
            </w:pPr>
            <w:proofErr w:type="spellStart"/>
            <w:r w:rsidRPr="00317FA9">
              <w:rPr>
                <w:rFonts w:eastAsia="Times New Roman"/>
                <w:color w:val="000000"/>
                <w:lang w:eastAsia="en-GB"/>
              </w:rPr>
              <w:t>Hestya</w:t>
            </w:r>
            <w:proofErr w:type="spellEnd"/>
          </w:p>
        </w:tc>
        <w:tc>
          <w:tcPr>
            <w:tcW w:w="1387" w:type="dxa"/>
            <w:shd w:val="clear" w:color="auto" w:fill="D3DFEE"/>
            <w:noWrap/>
            <w:vAlign w:val="center"/>
            <w:hideMark/>
          </w:tcPr>
          <w:p w:rsidR="003F6168" w:rsidRPr="00317FA9" w:rsidRDefault="003F6168" w:rsidP="00680F5D">
            <w:pPr>
              <w:spacing w:after="0" w:line="240" w:lineRule="auto"/>
              <w:jc w:val="right"/>
              <w:rPr>
                <w:rFonts w:eastAsia="Times New Roman"/>
                <w:color w:val="FF0000"/>
                <w:lang w:eastAsia="en-GB"/>
              </w:rPr>
            </w:pPr>
            <w:r>
              <w:rPr>
                <w:color w:val="FF0000"/>
              </w:rPr>
              <w:t>2,460,483</w:t>
            </w:r>
          </w:p>
        </w:tc>
        <w:tc>
          <w:tcPr>
            <w:tcW w:w="133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1,738,073</w:t>
            </w:r>
          </w:p>
        </w:tc>
        <w:tc>
          <w:tcPr>
            <w:tcW w:w="1939" w:type="dxa"/>
            <w:shd w:val="clear" w:color="auto" w:fill="D3DFEE"/>
            <w:noWrap/>
            <w:vAlign w:val="center"/>
            <w:hideMark/>
          </w:tcPr>
          <w:p w:rsidR="003F6168" w:rsidRPr="00317FA9" w:rsidRDefault="003F6168" w:rsidP="00680F5D">
            <w:pPr>
              <w:spacing w:after="0" w:line="240" w:lineRule="auto"/>
              <w:jc w:val="center"/>
              <w:rPr>
                <w:color w:val="000000"/>
              </w:rPr>
            </w:pPr>
            <w:r w:rsidRPr="00317FA9">
              <w:rPr>
                <w:color w:val="000000"/>
              </w:rPr>
              <w:t>242%</w:t>
            </w:r>
          </w:p>
        </w:tc>
        <w:tc>
          <w:tcPr>
            <w:tcW w:w="1343" w:type="dxa"/>
            <w:shd w:val="clear" w:color="auto" w:fill="D3DFEE"/>
            <w:vAlign w:val="center"/>
          </w:tcPr>
          <w:p w:rsidR="003F6168" w:rsidRPr="00317FA9" w:rsidRDefault="003F6168" w:rsidP="00680F5D">
            <w:pPr>
              <w:spacing w:after="0" w:line="240" w:lineRule="auto"/>
              <w:jc w:val="right"/>
              <w:rPr>
                <w:color w:val="000000"/>
              </w:rPr>
            </w:pPr>
            <w:r w:rsidRPr="00317FA9">
              <w:rPr>
                <w:color w:val="000000"/>
              </w:rPr>
              <w:t>498,653</w:t>
            </w:r>
          </w:p>
        </w:tc>
        <w:tc>
          <w:tcPr>
            <w:tcW w:w="1957" w:type="dxa"/>
            <w:shd w:val="clear" w:color="auto" w:fill="D3DFEE"/>
            <w:vAlign w:val="center"/>
          </w:tcPr>
          <w:p w:rsidR="003F6168" w:rsidRPr="00317FA9" w:rsidRDefault="003F6168" w:rsidP="00680F5D">
            <w:pPr>
              <w:spacing w:after="0" w:line="240" w:lineRule="auto"/>
              <w:ind w:right="222"/>
              <w:jc w:val="right"/>
            </w:pPr>
            <w:r>
              <w:rPr>
                <w:color w:val="000000"/>
              </w:rPr>
              <w:t>€ 40,431,302</w:t>
            </w:r>
          </w:p>
        </w:tc>
      </w:tr>
      <w:tr w:rsidR="003F6168" w:rsidRPr="00317FA9" w:rsidTr="00D16EC9">
        <w:trPr>
          <w:trHeight w:val="300"/>
        </w:trPr>
        <w:tc>
          <w:tcPr>
            <w:tcW w:w="2248" w:type="dxa"/>
            <w:noWrap/>
            <w:vAlign w:val="center"/>
            <w:hideMark/>
          </w:tcPr>
          <w:p w:rsidR="003F6168" w:rsidRPr="00317FA9" w:rsidRDefault="003F6168" w:rsidP="00680F5D">
            <w:pPr>
              <w:spacing w:after="0" w:line="240" w:lineRule="auto"/>
              <w:rPr>
                <w:rFonts w:eastAsia="Times New Roman"/>
                <w:color w:val="000000"/>
                <w:lang w:eastAsia="en-GB"/>
              </w:rPr>
            </w:pPr>
            <w:r w:rsidRPr="00317FA9">
              <w:rPr>
                <w:rFonts w:eastAsia="Times New Roman"/>
                <w:color w:val="000000"/>
                <w:lang w:eastAsia="en-GB"/>
              </w:rPr>
              <w:t>Dow Chemical</w:t>
            </w:r>
          </w:p>
        </w:tc>
        <w:tc>
          <w:tcPr>
            <w:tcW w:w="1387" w:type="dxa"/>
            <w:noWrap/>
            <w:vAlign w:val="center"/>
            <w:hideMark/>
          </w:tcPr>
          <w:p w:rsidR="003F6168" w:rsidRPr="00317FA9" w:rsidRDefault="003F6168" w:rsidP="00680F5D">
            <w:pPr>
              <w:spacing w:after="0" w:line="240" w:lineRule="auto"/>
              <w:jc w:val="right"/>
              <w:rPr>
                <w:color w:val="FF0000"/>
              </w:rPr>
            </w:pPr>
            <w:r>
              <w:rPr>
                <w:color w:val="FF0000"/>
              </w:rPr>
              <w:t>2,343,310</w:t>
            </w:r>
          </w:p>
        </w:tc>
        <w:tc>
          <w:tcPr>
            <w:tcW w:w="1333" w:type="dxa"/>
            <w:vAlign w:val="center"/>
          </w:tcPr>
          <w:p w:rsidR="003F6168" w:rsidRPr="00317FA9" w:rsidRDefault="003F6168" w:rsidP="00680F5D">
            <w:pPr>
              <w:spacing w:after="0" w:line="240" w:lineRule="auto"/>
              <w:jc w:val="right"/>
              <w:rPr>
                <w:color w:val="000000"/>
              </w:rPr>
            </w:pPr>
            <w:r w:rsidRPr="00317FA9">
              <w:rPr>
                <w:color w:val="000000"/>
              </w:rPr>
              <w:t>7,657,877</w:t>
            </w:r>
          </w:p>
        </w:tc>
        <w:tc>
          <w:tcPr>
            <w:tcW w:w="1939" w:type="dxa"/>
            <w:noWrap/>
            <w:vAlign w:val="center"/>
            <w:hideMark/>
          </w:tcPr>
          <w:p w:rsidR="003F6168" w:rsidRPr="00317FA9" w:rsidRDefault="003F6168" w:rsidP="00680F5D">
            <w:pPr>
              <w:spacing w:after="0" w:line="240" w:lineRule="auto"/>
              <w:jc w:val="center"/>
              <w:rPr>
                <w:color w:val="000000"/>
              </w:rPr>
            </w:pPr>
            <w:r w:rsidRPr="00317FA9">
              <w:rPr>
                <w:color w:val="000000"/>
              </w:rPr>
              <w:t>131%</w:t>
            </w:r>
          </w:p>
        </w:tc>
        <w:tc>
          <w:tcPr>
            <w:tcW w:w="1343" w:type="dxa"/>
            <w:vAlign w:val="center"/>
          </w:tcPr>
          <w:p w:rsidR="003F6168" w:rsidRPr="00317FA9" w:rsidRDefault="003F6168" w:rsidP="00680F5D">
            <w:pPr>
              <w:spacing w:after="0" w:line="240" w:lineRule="auto"/>
              <w:jc w:val="right"/>
              <w:rPr>
                <w:color w:val="000000"/>
              </w:rPr>
            </w:pPr>
            <w:r w:rsidRPr="00317FA9">
              <w:rPr>
                <w:color w:val="000000"/>
              </w:rPr>
              <w:t>2,077,547</w:t>
            </w:r>
          </w:p>
        </w:tc>
        <w:tc>
          <w:tcPr>
            <w:tcW w:w="1957" w:type="dxa"/>
            <w:vAlign w:val="center"/>
          </w:tcPr>
          <w:p w:rsidR="003F6168" w:rsidRPr="00317FA9" w:rsidRDefault="003F6168" w:rsidP="00680F5D">
            <w:pPr>
              <w:spacing w:after="0" w:line="240" w:lineRule="auto"/>
              <w:ind w:right="222"/>
              <w:jc w:val="right"/>
            </w:pPr>
            <w:r>
              <w:rPr>
                <w:color w:val="000000"/>
              </w:rPr>
              <w:t>€ 43,245,536</w:t>
            </w:r>
          </w:p>
        </w:tc>
      </w:tr>
      <w:tr w:rsidR="003F6168" w:rsidRPr="00317FA9" w:rsidTr="00D16EC9">
        <w:trPr>
          <w:trHeight w:val="300"/>
        </w:trPr>
        <w:tc>
          <w:tcPr>
            <w:tcW w:w="2248" w:type="dxa"/>
            <w:shd w:val="clear" w:color="auto" w:fill="D3DFEE"/>
            <w:noWrap/>
            <w:vAlign w:val="center"/>
            <w:hideMark/>
          </w:tcPr>
          <w:p w:rsidR="003F6168" w:rsidRPr="00540EA3" w:rsidRDefault="003F6168" w:rsidP="00680F5D">
            <w:pPr>
              <w:spacing w:after="0" w:line="240" w:lineRule="auto"/>
              <w:rPr>
                <w:rFonts w:eastAsia="Times New Roman"/>
                <w:b/>
                <w:lang w:eastAsia="en-GB"/>
              </w:rPr>
            </w:pPr>
            <w:r w:rsidRPr="00540EA3">
              <w:rPr>
                <w:rFonts w:eastAsia="Times New Roman"/>
                <w:b/>
                <w:lang w:eastAsia="en-GB"/>
              </w:rPr>
              <w:t>Total for top ten</w:t>
            </w:r>
          </w:p>
        </w:tc>
        <w:tc>
          <w:tcPr>
            <w:tcW w:w="1387" w:type="dxa"/>
            <w:shd w:val="clear" w:color="auto" w:fill="D3DFEE"/>
            <w:noWrap/>
            <w:vAlign w:val="center"/>
            <w:hideMark/>
          </w:tcPr>
          <w:p w:rsidR="003F6168" w:rsidRPr="00CF45E4" w:rsidRDefault="003F6168" w:rsidP="00680F5D">
            <w:pPr>
              <w:spacing w:after="0" w:line="240" w:lineRule="auto"/>
              <w:jc w:val="right"/>
              <w:rPr>
                <w:b/>
                <w:color w:val="FF0000"/>
              </w:rPr>
            </w:pPr>
            <w:r w:rsidRPr="00CF45E4">
              <w:rPr>
                <w:b/>
                <w:color w:val="FF0000"/>
              </w:rPr>
              <w:t>66,623,927</w:t>
            </w:r>
          </w:p>
        </w:tc>
        <w:tc>
          <w:tcPr>
            <w:tcW w:w="1333" w:type="dxa"/>
            <w:shd w:val="clear" w:color="auto" w:fill="D3DFEE"/>
            <w:vAlign w:val="center"/>
          </w:tcPr>
          <w:p w:rsidR="003F6168" w:rsidRPr="00317FA9" w:rsidRDefault="003F6168" w:rsidP="00680F5D">
            <w:pPr>
              <w:spacing w:after="0" w:line="240" w:lineRule="auto"/>
              <w:jc w:val="right"/>
              <w:rPr>
                <w:b/>
                <w:color w:val="000000"/>
              </w:rPr>
            </w:pPr>
            <w:r w:rsidRPr="00317FA9">
              <w:rPr>
                <w:b/>
                <w:color w:val="000000"/>
              </w:rPr>
              <w:t>200,987,174</w:t>
            </w:r>
          </w:p>
        </w:tc>
        <w:tc>
          <w:tcPr>
            <w:tcW w:w="1939" w:type="dxa"/>
            <w:shd w:val="clear" w:color="auto" w:fill="D3DFEE"/>
            <w:noWrap/>
            <w:vAlign w:val="center"/>
            <w:hideMark/>
          </w:tcPr>
          <w:p w:rsidR="003F6168" w:rsidRPr="00317FA9" w:rsidRDefault="003F6168" w:rsidP="00680F5D">
            <w:pPr>
              <w:spacing w:after="0" w:line="240" w:lineRule="auto"/>
              <w:jc w:val="center"/>
              <w:rPr>
                <w:b/>
              </w:rPr>
            </w:pPr>
            <w:r w:rsidRPr="00317FA9">
              <w:rPr>
                <w:b/>
              </w:rPr>
              <w:t>133%</w:t>
            </w:r>
          </w:p>
        </w:tc>
        <w:tc>
          <w:tcPr>
            <w:tcW w:w="1343" w:type="dxa"/>
            <w:shd w:val="clear" w:color="auto" w:fill="D3DFEE"/>
            <w:vAlign w:val="center"/>
          </w:tcPr>
          <w:p w:rsidR="003F6168" w:rsidRPr="00317FA9" w:rsidRDefault="003F6168" w:rsidP="00680F5D">
            <w:pPr>
              <w:spacing w:after="0" w:line="240" w:lineRule="auto"/>
              <w:jc w:val="right"/>
              <w:rPr>
                <w:b/>
              </w:rPr>
            </w:pPr>
            <w:r w:rsidRPr="00317FA9">
              <w:rPr>
                <w:b/>
              </w:rPr>
              <w:t>41,873,984</w:t>
            </w:r>
          </w:p>
        </w:tc>
        <w:tc>
          <w:tcPr>
            <w:tcW w:w="1957" w:type="dxa"/>
            <w:shd w:val="clear" w:color="auto" w:fill="D3DFEE"/>
            <w:vAlign w:val="center"/>
          </w:tcPr>
          <w:p w:rsidR="003F6168" w:rsidRPr="002D7769" w:rsidRDefault="003F6168" w:rsidP="00680F5D">
            <w:pPr>
              <w:spacing w:after="0" w:line="240" w:lineRule="auto"/>
              <w:ind w:right="222"/>
              <w:jc w:val="right"/>
              <w:rPr>
                <w:b/>
              </w:rPr>
            </w:pPr>
            <w:r w:rsidRPr="002D7769">
              <w:rPr>
                <w:b/>
                <w:color w:val="000000"/>
              </w:rPr>
              <w:t>€ 1,189,555,257</w:t>
            </w:r>
          </w:p>
        </w:tc>
      </w:tr>
    </w:tbl>
    <w:p w:rsidR="00D84C69" w:rsidRDefault="00D84C69" w:rsidP="00D84C69">
      <w:pPr>
        <w:jc w:val="both"/>
      </w:pPr>
    </w:p>
    <w:p w:rsidR="00313107" w:rsidRDefault="00313107" w:rsidP="003C2439">
      <w:pPr>
        <w:shd w:val="clear" w:color="auto" w:fill="FFFFFF"/>
        <w:jc w:val="both"/>
      </w:pPr>
    </w:p>
    <w:sectPr w:rsidR="00313107" w:rsidSect="00D16EC9">
      <w:headerReference w:type="default" r:id="rId13"/>
      <w:pgSz w:w="12240" w:h="15840"/>
      <w:pgMar w:top="709" w:right="1440" w:bottom="426"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1E" w:rsidRDefault="0045751E" w:rsidP="00C010F8">
      <w:pPr>
        <w:spacing w:after="0" w:line="240" w:lineRule="auto"/>
      </w:pPr>
      <w:r>
        <w:separator/>
      </w:r>
    </w:p>
  </w:endnote>
  <w:endnote w:type="continuationSeparator" w:id="0">
    <w:p w:rsidR="0045751E" w:rsidRDefault="0045751E" w:rsidP="00C0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1E" w:rsidRDefault="0045751E" w:rsidP="00C010F8">
      <w:pPr>
        <w:spacing w:after="0" w:line="240" w:lineRule="auto"/>
      </w:pPr>
      <w:r>
        <w:separator/>
      </w:r>
    </w:p>
  </w:footnote>
  <w:footnote w:type="continuationSeparator" w:id="0">
    <w:p w:rsidR="0045751E" w:rsidRDefault="0045751E" w:rsidP="00C010F8">
      <w:pPr>
        <w:spacing w:after="0" w:line="240" w:lineRule="auto"/>
      </w:pPr>
      <w:r>
        <w:continuationSeparator/>
      </w:r>
    </w:p>
  </w:footnote>
  <w:footnote w:id="1">
    <w:p w:rsidR="00D16EC9" w:rsidRPr="00D16EC9" w:rsidRDefault="00D16EC9" w:rsidP="00D16EC9">
      <w:pPr>
        <w:spacing w:after="0" w:line="240" w:lineRule="auto"/>
      </w:pPr>
      <w:r>
        <w:rPr>
          <w:rStyle w:val="FootnoteReference"/>
        </w:rPr>
        <w:footnoteRef/>
      </w:r>
      <w:r>
        <w:t xml:space="preserve"> </w:t>
      </w:r>
      <w:r w:rsidRPr="00D16EC9">
        <w:rPr>
          <w:rFonts w:eastAsia="Times New Roman"/>
          <w:bCs/>
          <w:color w:val="000000"/>
          <w:sz w:val="20"/>
          <w:szCs w:val="20"/>
          <w:lang w:eastAsia="en-GB"/>
        </w:rPr>
        <w:t>Source: EUTL and Sandbag Company Database</w:t>
      </w:r>
    </w:p>
  </w:footnote>
  <w:footnote w:id="2">
    <w:p w:rsidR="00D16EC9" w:rsidRPr="00D16EC9" w:rsidRDefault="00D16EC9">
      <w:pPr>
        <w:pStyle w:val="FootnoteText"/>
      </w:pPr>
      <w:r>
        <w:rPr>
          <w:rStyle w:val="FootnoteReference"/>
        </w:rPr>
        <w:footnoteRef/>
      </w:r>
      <w:r>
        <w:t xml:space="preserve"> </w:t>
      </w:r>
      <w:r w:rsidRPr="00317FA9">
        <w:rPr>
          <w:rFonts w:eastAsia="Times New Roman"/>
          <w:bCs/>
          <w:color w:val="000000"/>
          <w:lang w:eastAsia="en-GB"/>
        </w:rPr>
        <w:t>Surpluses and free allowances have been adjusted for known waste gases transfers</w:t>
      </w:r>
    </w:p>
  </w:footnote>
  <w:footnote w:id="3">
    <w:p w:rsidR="00D16EC9" w:rsidRPr="00D16EC9" w:rsidRDefault="00D16EC9">
      <w:pPr>
        <w:pStyle w:val="FootnoteText"/>
      </w:pPr>
      <w:r>
        <w:rPr>
          <w:rStyle w:val="FootnoteReference"/>
        </w:rPr>
        <w:footnoteRef/>
      </w:r>
      <w:r>
        <w:t xml:space="preserve"> Includes CERs and ERUs</w:t>
      </w:r>
    </w:p>
  </w:footnote>
  <w:footnote w:id="4">
    <w:p w:rsidR="003F6168" w:rsidRPr="00315903" w:rsidRDefault="003F6168" w:rsidP="00876DBC">
      <w:pPr>
        <w:pStyle w:val="FootnoteText"/>
        <w:rPr>
          <w:lang w:val="en-GB"/>
        </w:rPr>
      </w:pPr>
      <w:r>
        <w:rPr>
          <w:rStyle w:val="FootnoteReference"/>
        </w:rPr>
        <w:footnoteRef/>
      </w:r>
      <w:r>
        <w:t xml:space="preserve"> Assuming 2008-2011 average EUA price of €15.50, average CER-EUA spread of €2.80 and average ERU-EUA spread of €5. Prices taken from average closing prices as listed in </w:t>
      </w:r>
      <w:hyperlink r:id="rId1" w:history="1">
        <w:r w:rsidRPr="00474E67">
          <w:rPr>
            <w:rStyle w:val="Hyperlink"/>
          </w:rPr>
          <w:t>www.bluenext.eu</w:t>
        </w:r>
      </w:hyperlink>
      <w:r>
        <w:t xml:space="preserve"> </w:t>
      </w:r>
      <w:r>
        <w:rPr>
          <w:lang w:val="en-GB"/>
        </w:rPr>
        <w:t>(website now closed)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EE" w:rsidRDefault="005519EE">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47625</wp:posOffset>
          </wp:positionV>
          <wp:extent cx="1914525" cy="819150"/>
          <wp:effectExtent l="19050" t="0" r="9525" b="0"/>
          <wp:wrapNone/>
          <wp:docPr id="3" name="Picture 2" descr="http://www.sandbag.org.uk/site_media/images/sandb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dbag.org.uk/site_media/images/sandbaglogo.jpg"/>
                  <pic:cNvPicPr>
                    <a:picLocks noChangeAspect="1" noChangeArrowheads="1"/>
                  </pic:cNvPicPr>
                </pic:nvPicPr>
                <pic:blipFill>
                  <a:blip r:embed="rId1"/>
                  <a:srcRect/>
                  <a:stretch>
                    <a:fillRect/>
                  </a:stretch>
                </pic:blipFill>
                <pic:spPr bwMode="auto">
                  <a:xfrm>
                    <a:off x="0" y="0"/>
                    <a:ext cx="1914525" cy="819150"/>
                  </a:xfrm>
                  <a:prstGeom prst="rect">
                    <a:avLst/>
                  </a:prstGeom>
                  <a:noFill/>
                  <a:ln w="9525">
                    <a:noFill/>
                    <a:miter lim="800000"/>
                    <a:headEnd/>
                    <a:tailEnd/>
                  </a:ln>
                </pic:spPr>
              </pic:pic>
            </a:graphicData>
          </a:graphic>
        </wp:anchor>
      </w:drawing>
    </w:r>
    <w:r w:rsidR="00470773">
      <w:rPr>
        <w:noProof/>
        <w:lang w:val="en-GB" w:eastAsia="en-GB"/>
      </w:rPr>
      <w:drawing>
        <wp:inline distT="0" distB="0" distL="0" distR="0">
          <wp:extent cx="2004915" cy="1028700"/>
          <wp:effectExtent l="19050" t="0" r="0" b="0"/>
          <wp:docPr id="4" name="Picture 1" descr="C:\Users\Admin.Damien-netbook\AppData\Local\Temp\Temp1_BUND Logos 2012.zip\Logos für Windows\BUNDlogo 2012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amien-netbook\AppData\Local\Temp\Temp1_BUND Logos 2012.zip\Logos für Windows\BUNDlogo 2012 RGB.png"/>
                  <pic:cNvPicPr>
                    <a:picLocks noChangeAspect="1" noChangeArrowheads="1"/>
                  </pic:cNvPicPr>
                </pic:nvPicPr>
                <pic:blipFill>
                  <a:blip r:embed="rId2"/>
                  <a:srcRect/>
                  <a:stretch>
                    <a:fillRect/>
                  </a:stretch>
                </pic:blipFill>
                <pic:spPr bwMode="auto">
                  <a:xfrm>
                    <a:off x="0" y="0"/>
                    <a:ext cx="2004915" cy="1028700"/>
                  </a:xfrm>
                  <a:prstGeom prst="rect">
                    <a:avLst/>
                  </a:prstGeom>
                  <a:noFill/>
                  <a:ln w="9525">
                    <a:noFill/>
                    <a:miter lim="800000"/>
                    <a:headEnd/>
                    <a:tailEnd/>
                  </a:ln>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B59F2"/>
    <w:multiLevelType w:val="hybridMultilevel"/>
    <w:tmpl w:val="A75E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010F8"/>
    <w:rsid w:val="00006E05"/>
    <w:rsid w:val="000162EF"/>
    <w:rsid w:val="000331D4"/>
    <w:rsid w:val="00043A5C"/>
    <w:rsid w:val="000857AD"/>
    <w:rsid w:val="00086CF0"/>
    <w:rsid w:val="000911B1"/>
    <w:rsid w:val="00112008"/>
    <w:rsid w:val="00114309"/>
    <w:rsid w:val="00123388"/>
    <w:rsid w:val="00131B76"/>
    <w:rsid w:val="00150FAC"/>
    <w:rsid w:val="00164B1B"/>
    <w:rsid w:val="001673DA"/>
    <w:rsid w:val="001B44AF"/>
    <w:rsid w:val="001C04FA"/>
    <w:rsid w:val="001D51C2"/>
    <w:rsid w:val="001F2ACC"/>
    <w:rsid w:val="001F2C0C"/>
    <w:rsid w:val="00214F0C"/>
    <w:rsid w:val="002476DB"/>
    <w:rsid w:val="002634BF"/>
    <w:rsid w:val="00265DE8"/>
    <w:rsid w:val="00282F12"/>
    <w:rsid w:val="00313107"/>
    <w:rsid w:val="0032354A"/>
    <w:rsid w:val="00360858"/>
    <w:rsid w:val="00382E2E"/>
    <w:rsid w:val="003C2439"/>
    <w:rsid w:val="003C6300"/>
    <w:rsid w:val="003D4804"/>
    <w:rsid w:val="003F6168"/>
    <w:rsid w:val="00457334"/>
    <w:rsid w:val="0045751E"/>
    <w:rsid w:val="00470773"/>
    <w:rsid w:val="004A6F43"/>
    <w:rsid w:val="005004C6"/>
    <w:rsid w:val="00511E1C"/>
    <w:rsid w:val="0051321F"/>
    <w:rsid w:val="00527D34"/>
    <w:rsid w:val="005476D7"/>
    <w:rsid w:val="005519EE"/>
    <w:rsid w:val="00556C40"/>
    <w:rsid w:val="00561B00"/>
    <w:rsid w:val="00562311"/>
    <w:rsid w:val="00576862"/>
    <w:rsid w:val="00593B29"/>
    <w:rsid w:val="005A3E34"/>
    <w:rsid w:val="005E127D"/>
    <w:rsid w:val="005F4176"/>
    <w:rsid w:val="00656BB7"/>
    <w:rsid w:val="00657437"/>
    <w:rsid w:val="00674323"/>
    <w:rsid w:val="006F39F5"/>
    <w:rsid w:val="0072341D"/>
    <w:rsid w:val="00755DAF"/>
    <w:rsid w:val="007957AE"/>
    <w:rsid w:val="007A5972"/>
    <w:rsid w:val="00830CE0"/>
    <w:rsid w:val="00840D42"/>
    <w:rsid w:val="008410C4"/>
    <w:rsid w:val="008422FE"/>
    <w:rsid w:val="008E0DC4"/>
    <w:rsid w:val="00914A0A"/>
    <w:rsid w:val="0091749C"/>
    <w:rsid w:val="00960284"/>
    <w:rsid w:val="0096792F"/>
    <w:rsid w:val="00970485"/>
    <w:rsid w:val="009802DB"/>
    <w:rsid w:val="00994486"/>
    <w:rsid w:val="00995759"/>
    <w:rsid w:val="009A2224"/>
    <w:rsid w:val="009D526F"/>
    <w:rsid w:val="009D6199"/>
    <w:rsid w:val="00A476AB"/>
    <w:rsid w:val="00A52A28"/>
    <w:rsid w:val="00A86968"/>
    <w:rsid w:val="00B0057B"/>
    <w:rsid w:val="00B2187A"/>
    <w:rsid w:val="00B31E21"/>
    <w:rsid w:val="00B4265F"/>
    <w:rsid w:val="00B45CA9"/>
    <w:rsid w:val="00BC3CFE"/>
    <w:rsid w:val="00BD612F"/>
    <w:rsid w:val="00C010F8"/>
    <w:rsid w:val="00C37BD2"/>
    <w:rsid w:val="00C52823"/>
    <w:rsid w:val="00C5765A"/>
    <w:rsid w:val="00CC7E38"/>
    <w:rsid w:val="00CD31CF"/>
    <w:rsid w:val="00CF117F"/>
    <w:rsid w:val="00D01A36"/>
    <w:rsid w:val="00D16EC9"/>
    <w:rsid w:val="00D37220"/>
    <w:rsid w:val="00D81472"/>
    <w:rsid w:val="00D84C69"/>
    <w:rsid w:val="00D90EB3"/>
    <w:rsid w:val="00DB2FCA"/>
    <w:rsid w:val="00DD1E20"/>
    <w:rsid w:val="00DF7E14"/>
    <w:rsid w:val="00E46442"/>
    <w:rsid w:val="00E631CC"/>
    <w:rsid w:val="00E66ED9"/>
    <w:rsid w:val="00E8333E"/>
    <w:rsid w:val="00E87488"/>
    <w:rsid w:val="00E975CE"/>
    <w:rsid w:val="00EA25BF"/>
    <w:rsid w:val="00ED0134"/>
    <w:rsid w:val="00EE5222"/>
    <w:rsid w:val="00F00612"/>
    <w:rsid w:val="00F824F7"/>
    <w:rsid w:val="00F962A7"/>
    <w:rsid w:val="00F9722C"/>
    <w:rsid w:val="00FB05E6"/>
    <w:rsid w:val="00FC3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10F8"/>
  </w:style>
  <w:style w:type="paragraph" w:styleId="Footer">
    <w:name w:val="footer"/>
    <w:basedOn w:val="Normal"/>
    <w:link w:val="FooterChar"/>
    <w:uiPriority w:val="99"/>
    <w:semiHidden/>
    <w:unhideWhenUsed/>
    <w:rsid w:val="00C010F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010F8"/>
  </w:style>
  <w:style w:type="character" w:styleId="CommentReference">
    <w:name w:val="annotation reference"/>
    <w:basedOn w:val="DefaultParagraphFont"/>
    <w:uiPriority w:val="99"/>
    <w:semiHidden/>
    <w:unhideWhenUsed/>
    <w:rsid w:val="00086CF0"/>
    <w:rPr>
      <w:sz w:val="16"/>
      <w:szCs w:val="16"/>
    </w:rPr>
  </w:style>
  <w:style w:type="paragraph" w:styleId="CommentText">
    <w:name w:val="annotation text"/>
    <w:basedOn w:val="Normal"/>
    <w:link w:val="CommentTextChar"/>
    <w:uiPriority w:val="99"/>
    <w:semiHidden/>
    <w:unhideWhenUsed/>
    <w:rsid w:val="00086CF0"/>
    <w:pPr>
      <w:spacing w:line="240" w:lineRule="auto"/>
    </w:pPr>
    <w:rPr>
      <w:sz w:val="20"/>
      <w:szCs w:val="20"/>
    </w:rPr>
  </w:style>
  <w:style w:type="character" w:customStyle="1" w:styleId="CommentTextChar">
    <w:name w:val="Comment Text Char"/>
    <w:basedOn w:val="DefaultParagraphFont"/>
    <w:link w:val="CommentText"/>
    <w:uiPriority w:val="99"/>
    <w:semiHidden/>
    <w:rsid w:val="00086CF0"/>
    <w:rPr>
      <w:sz w:val="20"/>
      <w:szCs w:val="20"/>
    </w:rPr>
  </w:style>
  <w:style w:type="paragraph" w:styleId="CommentSubject">
    <w:name w:val="annotation subject"/>
    <w:basedOn w:val="CommentText"/>
    <w:next w:val="CommentText"/>
    <w:link w:val="CommentSubjectChar"/>
    <w:uiPriority w:val="99"/>
    <w:semiHidden/>
    <w:unhideWhenUsed/>
    <w:rsid w:val="00086CF0"/>
    <w:rPr>
      <w:b/>
      <w:bCs/>
    </w:rPr>
  </w:style>
  <w:style w:type="character" w:customStyle="1" w:styleId="CommentSubjectChar">
    <w:name w:val="Comment Subject Char"/>
    <w:basedOn w:val="CommentTextChar"/>
    <w:link w:val="CommentSubject"/>
    <w:uiPriority w:val="99"/>
    <w:semiHidden/>
    <w:rsid w:val="00086CF0"/>
    <w:rPr>
      <w:b/>
      <w:bCs/>
    </w:rPr>
  </w:style>
  <w:style w:type="paragraph" w:styleId="BalloonText">
    <w:name w:val="Balloon Text"/>
    <w:basedOn w:val="Normal"/>
    <w:link w:val="BalloonTextChar"/>
    <w:uiPriority w:val="99"/>
    <w:semiHidden/>
    <w:unhideWhenUsed/>
    <w:rsid w:val="0008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F0"/>
    <w:rPr>
      <w:rFonts w:ascii="Tahoma" w:hAnsi="Tahoma" w:cs="Tahoma"/>
      <w:sz w:val="16"/>
      <w:szCs w:val="16"/>
    </w:rPr>
  </w:style>
  <w:style w:type="paragraph" w:styleId="FootnoteText">
    <w:name w:val="footnote text"/>
    <w:basedOn w:val="Normal"/>
    <w:link w:val="FootnoteTextChar"/>
    <w:uiPriority w:val="99"/>
    <w:unhideWhenUsed/>
    <w:rsid w:val="000911B1"/>
    <w:pPr>
      <w:spacing w:after="0" w:line="240" w:lineRule="auto"/>
    </w:pPr>
    <w:rPr>
      <w:sz w:val="20"/>
      <w:szCs w:val="20"/>
    </w:rPr>
  </w:style>
  <w:style w:type="character" w:customStyle="1" w:styleId="FootnoteTextChar">
    <w:name w:val="Footnote Text Char"/>
    <w:basedOn w:val="DefaultParagraphFont"/>
    <w:link w:val="FootnoteText"/>
    <w:uiPriority w:val="99"/>
    <w:rsid w:val="000911B1"/>
    <w:rPr>
      <w:sz w:val="20"/>
      <w:szCs w:val="20"/>
    </w:rPr>
  </w:style>
  <w:style w:type="character" w:styleId="FootnoteReference">
    <w:name w:val="footnote reference"/>
    <w:basedOn w:val="DefaultParagraphFont"/>
    <w:uiPriority w:val="99"/>
    <w:semiHidden/>
    <w:unhideWhenUsed/>
    <w:rsid w:val="000911B1"/>
    <w:rPr>
      <w:vertAlign w:val="superscript"/>
    </w:rPr>
  </w:style>
  <w:style w:type="character" w:styleId="Hyperlink">
    <w:name w:val="Hyperlink"/>
    <w:basedOn w:val="DefaultParagraphFont"/>
    <w:uiPriority w:val="99"/>
    <w:unhideWhenUsed/>
    <w:rsid w:val="00265DE8"/>
    <w:rPr>
      <w:color w:val="0000FF" w:themeColor="hyperlink"/>
      <w:u w:val="single"/>
    </w:rPr>
  </w:style>
  <w:style w:type="character" w:customStyle="1" w:styleId="apple-converted-space">
    <w:name w:val="apple-converted-space"/>
    <w:basedOn w:val="DefaultParagraphFont"/>
    <w:rsid w:val="00313107"/>
  </w:style>
  <w:style w:type="paragraph" w:styleId="ListParagraph">
    <w:name w:val="List Paragraph"/>
    <w:basedOn w:val="Normal"/>
    <w:uiPriority w:val="34"/>
    <w:qFormat/>
    <w:rsid w:val="006F39F5"/>
    <w:pPr>
      <w:ind w:left="720"/>
      <w:contextualSpacing/>
    </w:pPr>
  </w:style>
</w:styles>
</file>

<file path=word/webSettings.xml><?xml version="1.0" encoding="utf-8"?>
<w:webSettings xmlns:r="http://schemas.openxmlformats.org/officeDocument/2006/relationships" xmlns:w="http://schemas.openxmlformats.org/wordprocessingml/2006/main">
  <w:divs>
    <w:div w:id="189151460">
      <w:bodyDiv w:val="1"/>
      <w:marLeft w:val="0"/>
      <w:marRight w:val="0"/>
      <w:marTop w:val="0"/>
      <w:marBottom w:val="0"/>
      <w:divBdr>
        <w:top w:val="none" w:sz="0" w:space="0" w:color="auto"/>
        <w:left w:val="none" w:sz="0" w:space="0" w:color="auto"/>
        <w:bottom w:val="none" w:sz="0" w:space="0" w:color="auto"/>
        <w:right w:val="none" w:sz="0" w:space="0" w:color="auto"/>
      </w:divBdr>
    </w:div>
    <w:div w:id="686519376">
      <w:bodyDiv w:val="1"/>
      <w:marLeft w:val="0"/>
      <w:marRight w:val="0"/>
      <w:marTop w:val="0"/>
      <w:marBottom w:val="0"/>
      <w:divBdr>
        <w:top w:val="none" w:sz="0" w:space="0" w:color="auto"/>
        <w:left w:val="none" w:sz="0" w:space="0" w:color="auto"/>
        <w:bottom w:val="none" w:sz="0" w:space="0" w:color="auto"/>
        <w:right w:val="none" w:sz="0" w:space="0" w:color="auto"/>
      </w:divBdr>
    </w:div>
    <w:div w:id="1523279607">
      <w:bodyDiv w:val="1"/>
      <w:marLeft w:val="0"/>
      <w:marRight w:val="0"/>
      <w:marTop w:val="0"/>
      <w:marBottom w:val="0"/>
      <w:divBdr>
        <w:top w:val="none" w:sz="0" w:space="0" w:color="auto"/>
        <w:left w:val="none" w:sz="0" w:space="0" w:color="auto"/>
        <w:bottom w:val="none" w:sz="0" w:space="0" w:color="auto"/>
        <w:right w:val="none" w:sz="0" w:space="0" w:color="auto"/>
      </w:divBdr>
      <w:divsChild>
        <w:div w:id="1896698717">
          <w:marLeft w:val="0"/>
          <w:marRight w:val="0"/>
          <w:marTop w:val="0"/>
          <w:marBottom w:val="0"/>
          <w:divBdr>
            <w:top w:val="none" w:sz="0" w:space="0" w:color="auto"/>
            <w:left w:val="none" w:sz="0" w:space="0" w:color="auto"/>
            <w:bottom w:val="none" w:sz="0" w:space="0" w:color="auto"/>
            <w:right w:val="none" w:sz="0" w:space="0" w:color="auto"/>
          </w:divBdr>
        </w:div>
        <w:div w:id="113548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ndbag.org.uk/site_media/pdfs/reports/Klimagoldesel2013_English_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loeffelsend@bund.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mien@sandbag.org.uk" TargetMode="External"/><Relationship Id="rId4" Type="http://schemas.openxmlformats.org/officeDocument/2006/relationships/settings" Target="settings.xml"/><Relationship Id="rId9" Type="http://schemas.openxmlformats.org/officeDocument/2006/relationships/hyperlink" Target="http://bund.net/pdf/klimagoldesel2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uenex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amien-netbook\Dropbox\Sandbag%20files\Campaigns\Reports\Country-specific%20briefings\Germany\Klimagoldesel%202%20Feb%202013\Klimagoldesel_Amend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4"/>
          <c:order val="0"/>
          <c:tx>
            <c:strRef>
              <c:f>'Fatcats 08-11'!$B$1</c:f>
              <c:strCache>
                <c:ptCount val="1"/>
                <c:pt idx="0">
                  <c:v>Total surplus</c:v>
                </c:pt>
              </c:strCache>
            </c:strRef>
          </c:tx>
          <c:spPr>
            <a:solidFill>
              <a:srgbClr val="FF0000"/>
            </a:solidFill>
          </c:spPr>
          <c:dLbls>
            <c:dLblPos val="inBase"/>
            <c:showVal val="1"/>
          </c:dLbls>
          <c:cat>
            <c:strRef>
              <c:f>'Fatcats 08-11'!$A$2:$A$11</c:f>
              <c:strCache>
                <c:ptCount val="10"/>
                <c:pt idx="0">
                  <c:v>ArcelorMittal*</c:v>
                </c:pt>
                <c:pt idx="1">
                  <c:v>ROGESA*</c:v>
                </c:pt>
                <c:pt idx="2">
                  <c:v>Salzgitter</c:v>
                </c:pt>
                <c:pt idx="3">
                  <c:v>ThyssenKrupp*</c:v>
                </c:pt>
                <c:pt idx="4">
                  <c:v>BASF</c:v>
                </c:pt>
                <c:pt idx="5">
                  <c:v>Rheinkalk (Lhoist)</c:v>
                </c:pt>
                <c:pt idx="6">
                  <c:v>HKM*</c:v>
                </c:pt>
                <c:pt idx="7">
                  <c:v>Stadtwerke München</c:v>
                </c:pt>
                <c:pt idx="8">
                  <c:v>Hestya</c:v>
                </c:pt>
                <c:pt idx="9">
                  <c:v>Dow Chemical</c:v>
                </c:pt>
              </c:strCache>
            </c:strRef>
          </c:cat>
          <c:val>
            <c:numRef>
              <c:f>'Fatcats 08-11'!$B$2:$B$11</c:f>
              <c:numCache>
                <c:formatCode>#,##0</c:formatCode>
                <c:ptCount val="10"/>
                <c:pt idx="0">
                  <c:v>19440195.000000004</c:v>
                </c:pt>
                <c:pt idx="1">
                  <c:v>9691860.999999987</c:v>
                </c:pt>
                <c:pt idx="2">
                  <c:v>9442356</c:v>
                </c:pt>
                <c:pt idx="3">
                  <c:v>8929200</c:v>
                </c:pt>
                <c:pt idx="4">
                  <c:v>3863407.9999999977</c:v>
                </c:pt>
                <c:pt idx="5">
                  <c:v>3817020</c:v>
                </c:pt>
                <c:pt idx="6">
                  <c:v>3589124.0000000005</c:v>
                </c:pt>
                <c:pt idx="7">
                  <c:v>2900217</c:v>
                </c:pt>
                <c:pt idx="8">
                  <c:v>2460483</c:v>
                </c:pt>
                <c:pt idx="9">
                  <c:v>2343310</c:v>
                </c:pt>
              </c:numCache>
            </c:numRef>
          </c:val>
        </c:ser>
        <c:overlap val="100"/>
        <c:axId val="86780160"/>
        <c:axId val="86799104"/>
      </c:barChart>
      <c:catAx>
        <c:axId val="86780160"/>
        <c:scaling>
          <c:orientation val="minMax"/>
        </c:scaling>
        <c:axPos val="b"/>
        <c:tickLblPos val="nextTo"/>
        <c:crossAx val="86799104"/>
        <c:crosses val="autoZero"/>
        <c:auto val="1"/>
        <c:lblAlgn val="ctr"/>
        <c:lblOffset val="100"/>
      </c:catAx>
      <c:valAx>
        <c:axId val="86799104"/>
        <c:scaling>
          <c:orientation val="minMax"/>
        </c:scaling>
        <c:axPos val="l"/>
        <c:majorGridlines/>
        <c:numFmt formatCode="#,##0" sourceLinked="1"/>
        <c:tickLblPos val="nextTo"/>
        <c:crossAx val="86780160"/>
        <c:crosses val="autoZero"/>
        <c:crossBetween val="between"/>
        <c:dispUnits>
          <c:builtInUnit val="millions"/>
          <c:dispUnitsLbl/>
        </c:dispUnits>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C0C0-6D73-4202-9325-130EA321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dc:creator>
  <cp:lastModifiedBy>Damien Morris</cp:lastModifiedBy>
  <cp:revision>3</cp:revision>
  <dcterms:created xsi:type="dcterms:W3CDTF">2013-02-12T11:47:00Z</dcterms:created>
  <dcterms:modified xsi:type="dcterms:W3CDTF">2013-02-12T14:48:00Z</dcterms:modified>
</cp:coreProperties>
</file>