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D2" w:rsidRDefault="003D4804" w:rsidP="003D4804">
      <w:pPr>
        <w:jc w:val="center"/>
        <w:rPr>
          <w:b/>
          <w:sz w:val="28"/>
          <w:szCs w:val="28"/>
        </w:rPr>
      </w:pPr>
      <w:r>
        <w:rPr>
          <w:b/>
          <w:sz w:val="28"/>
          <w:szCs w:val="28"/>
        </w:rPr>
        <w:t xml:space="preserve">Weak emissions trading caps </w:t>
      </w:r>
      <w:r w:rsidR="00C37BD2" w:rsidRPr="00C37BD2">
        <w:rPr>
          <w:b/>
          <w:sz w:val="28"/>
          <w:szCs w:val="28"/>
        </w:rPr>
        <w:t xml:space="preserve">detrimental </w:t>
      </w:r>
      <w:r w:rsidR="00131B76">
        <w:rPr>
          <w:b/>
          <w:sz w:val="28"/>
          <w:szCs w:val="28"/>
        </w:rPr>
        <w:t>to</w:t>
      </w:r>
      <w:r w:rsidR="00C37BD2">
        <w:rPr>
          <w:b/>
          <w:sz w:val="28"/>
          <w:szCs w:val="28"/>
        </w:rPr>
        <w:t xml:space="preserve"> climate and employment</w:t>
      </w:r>
    </w:p>
    <w:p w:rsidR="00EA25BF" w:rsidRDefault="00C37BD2" w:rsidP="003D4804">
      <w:pPr>
        <w:jc w:val="both"/>
        <w:rPr>
          <w:b/>
        </w:rPr>
      </w:pPr>
      <w:r w:rsidRPr="00C37BD2">
        <w:rPr>
          <w:b/>
        </w:rPr>
        <w:t xml:space="preserve">Research </w:t>
      </w:r>
      <w:r w:rsidR="005519EE">
        <w:rPr>
          <w:b/>
        </w:rPr>
        <w:t>by</w:t>
      </w:r>
      <w:r w:rsidRPr="00C37BD2">
        <w:rPr>
          <w:b/>
        </w:rPr>
        <w:t xml:space="preserve"> WWF, in collaboration with Sandbag, identifies the </w:t>
      </w:r>
      <w:r>
        <w:rPr>
          <w:b/>
        </w:rPr>
        <w:t>10</w:t>
      </w:r>
      <w:r w:rsidRPr="00C37BD2">
        <w:rPr>
          <w:b/>
        </w:rPr>
        <w:t xml:space="preserve"> companies in Belg</w:t>
      </w:r>
      <w:r>
        <w:rPr>
          <w:b/>
        </w:rPr>
        <w:t>i</w:t>
      </w:r>
      <w:r w:rsidRPr="00C37BD2">
        <w:rPr>
          <w:b/>
        </w:rPr>
        <w:t xml:space="preserve">um that have </w:t>
      </w:r>
      <w:r w:rsidR="00556C40">
        <w:rPr>
          <w:b/>
        </w:rPr>
        <w:t xml:space="preserve">potentially </w:t>
      </w:r>
      <w:r w:rsidRPr="00C37BD2">
        <w:rPr>
          <w:b/>
        </w:rPr>
        <w:t>prof</w:t>
      </w:r>
      <w:r>
        <w:rPr>
          <w:b/>
        </w:rPr>
        <w:t xml:space="preserve">ited </w:t>
      </w:r>
      <w:r w:rsidR="00556C40">
        <w:rPr>
          <w:b/>
        </w:rPr>
        <w:t xml:space="preserve">the </w:t>
      </w:r>
      <w:r>
        <w:rPr>
          <w:b/>
        </w:rPr>
        <w:t xml:space="preserve">most from the failing Emissions Trading Scheme (ETS), and labels them ‘Carbon Fat Cats’. This is the ultimate illustration that the ETS does not fulfill its objective to encourage deep greenhouse gas reductions </w:t>
      </w:r>
      <w:r w:rsidR="005519EE">
        <w:rPr>
          <w:b/>
        </w:rPr>
        <w:t xml:space="preserve">across </w:t>
      </w:r>
      <w:r>
        <w:rPr>
          <w:b/>
        </w:rPr>
        <w:t xml:space="preserve">energy-intensive industries. WWF </w:t>
      </w:r>
      <w:r w:rsidR="005519EE">
        <w:rPr>
          <w:b/>
        </w:rPr>
        <w:t xml:space="preserve">and Sandbag call for ambitious structural reforms to the </w:t>
      </w:r>
      <w:r w:rsidR="00EA25BF">
        <w:rPr>
          <w:b/>
        </w:rPr>
        <w:t xml:space="preserve">ETS as outlined in the European Commission’s recent ETS report. </w:t>
      </w:r>
      <w:r w:rsidR="003D4804" w:rsidRPr="003D4804">
        <w:rPr>
          <w:b/>
        </w:rPr>
        <w:t>A stronger price signal will spur investment in innovative technologies and</w:t>
      </w:r>
      <w:r w:rsidR="003D4804">
        <w:rPr>
          <w:b/>
        </w:rPr>
        <w:t>, over the long term,</w:t>
      </w:r>
      <w:r w:rsidR="003D4804" w:rsidRPr="003D4804">
        <w:rPr>
          <w:b/>
        </w:rPr>
        <w:t xml:space="preserve"> create a competitive</w:t>
      </w:r>
      <w:r w:rsidR="003D4804">
        <w:rPr>
          <w:b/>
        </w:rPr>
        <w:t xml:space="preserve"> </w:t>
      </w:r>
      <w:r w:rsidR="003D4804" w:rsidRPr="003D4804">
        <w:rPr>
          <w:b/>
        </w:rPr>
        <w:t xml:space="preserve">advantage for Belgian industry compared to companies outside Europe. </w:t>
      </w:r>
    </w:p>
    <w:p w:rsidR="00B0057B" w:rsidRPr="00C37BD2" w:rsidRDefault="00C37BD2" w:rsidP="00C010F8">
      <w:pPr>
        <w:jc w:val="both"/>
        <w:rPr>
          <w:b/>
        </w:rPr>
      </w:pPr>
      <w:r w:rsidRPr="00C37BD2">
        <w:rPr>
          <w:b/>
        </w:rPr>
        <w:t xml:space="preserve">The </w:t>
      </w:r>
      <w:r w:rsidR="000331D4">
        <w:rPr>
          <w:b/>
        </w:rPr>
        <w:t>EU emissions trading scheme:</w:t>
      </w:r>
      <w:r w:rsidRPr="00C37BD2">
        <w:rPr>
          <w:b/>
        </w:rPr>
        <w:t xml:space="preserve"> a system in crisis </w:t>
      </w:r>
    </w:p>
    <w:p w:rsidR="000331D4" w:rsidRPr="000331D4" w:rsidRDefault="000331D4" w:rsidP="00C010F8">
      <w:pPr>
        <w:jc w:val="both"/>
      </w:pPr>
      <w:r>
        <w:t xml:space="preserve">The ETS is a </w:t>
      </w:r>
      <w:proofErr w:type="spellStart"/>
      <w:r>
        <w:t>ﬂagship</w:t>
      </w:r>
      <w:proofErr w:type="spellEnd"/>
      <w:r>
        <w:t xml:space="preserve"> climate policy of the European Union. Under this scheme, all energy intensive installations on EU territory are subject to the ‘cap and trade’ principle. The total amount of greenhouse gasses that can be emitted within the ETS is limited, after which each installation is allocated an amount of CO2-emissions under the form of CO2-credits (EU emissions allowances or EUAs). Companies can sell or buy these credits as needed.</w:t>
      </w:r>
    </w:p>
    <w:p w:rsidR="000331D4" w:rsidRDefault="000331D4" w:rsidP="00C010F8">
      <w:pPr>
        <w:jc w:val="both"/>
      </w:pPr>
      <w:r>
        <w:t>Scarcity in the market, due to a yearly decrease in the allocated EUAs, is supposed to guarantee a CO2-price that drives investments in energy savings and renewable energies. However, initial over-allocation, the economic crisis, and the possibility to purchase international emission reduction credits (CDM and JI) has led to a surplus rather than scarcity: altogether EU installations have accrued a surplus over 950 million EUAs between 2008 and 2011.</w:t>
      </w:r>
    </w:p>
    <w:p w:rsidR="00B0057B" w:rsidRPr="000331D4" w:rsidRDefault="000331D4" w:rsidP="00C010F8">
      <w:pPr>
        <w:jc w:val="both"/>
        <w:rPr>
          <w:b/>
        </w:rPr>
      </w:pPr>
      <w:r w:rsidRPr="000331D4">
        <w:rPr>
          <w:b/>
        </w:rPr>
        <w:t>Belgian</w:t>
      </w:r>
      <w:r w:rsidR="00B0057B" w:rsidRPr="000331D4">
        <w:rPr>
          <w:b/>
        </w:rPr>
        <w:t xml:space="preserve"> Carbon Fat Cats: </w:t>
      </w:r>
      <w:r w:rsidRPr="000331D4">
        <w:rPr>
          <w:b/>
        </w:rPr>
        <w:t>abuse of a system</w:t>
      </w:r>
      <w:r w:rsidR="00B0057B" w:rsidRPr="000331D4">
        <w:rPr>
          <w:b/>
        </w:rPr>
        <w:t xml:space="preserve"> in crisis</w:t>
      </w:r>
    </w:p>
    <w:p w:rsidR="000331D4" w:rsidRDefault="00265DE8" w:rsidP="00C010F8">
      <w:pPr>
        <w:jc w:val="both"/>
      </w:pPr>
      <w:r w:rsidRPr="00265DE8">
        <w:rPr>
          <w:noProof/>
          <w:lang w:val="en-GB"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57785</wp:posOffset>
            </wp:positionV>
            <wp:extent cx="3219450" cy="2705100"/>
            <wp:effectExtent l="19050" t="0" r="19050" b="0"/>
            <wp:wrapSquare wrapText="bothSides"/>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0331D4" w:rsidRPr="000331D4">
        <w:t>The ten Belgian Carbon Fat C</w:t>
      </w:r>
      <w:r>
        <w:t>at companies, that come</w:t>
      </w:r>
      <w:r w:rsidR="00527D34">
        <w:t xml:space="preserve"> from the metallurgy,</w:t>
      </w:r>
      <w:r w:rsidR="000331D4">
        <w:t xml:space="preserve"> chemical, cement and electricity sector, represent an </w:t>
      </w:r>
      <w:r w:rsidR="00527D34">
        <w:t>e</w:t>
      </w:r>
      <w:r w:rsidR="000331D4">
        <w:t>xcess of 2</w:t>
      </w:r>
      <w:r w:rsidR="00527D34">
        <w:t>9 million EUAs (see graphic): this is almost one quarter of the total annual Belgian CO2-emissions</w:t>
      </w:r>
    </w:p>
    <w:p w:rsidR="00527D34" w:rsidRDefault="00527D34" w:rsidP="00C010F8">
      <w:pPr>
        <w:jc w:val="both"/>
      </w:pPr>
      <w:r>
        <w:t xml:space="preserve">The two biggest Carbon Fat Cats illustrate the possible implications of such surplus. </w:t>
      </w:r>
      <w:proofErr w:type="spellStart"/>
      <w:r>
        <w:rPr>
          <w:b/>
          <w:i/>
        </w:rPr>
        <w:t>Duferco</w:t>
      </w:r>
      <w:proofErr w:type="spellEnd"/>
      <w:r>
        <w:rPr>
          <w:b/>
          <w:i/>
        </w:rPr>
        <w:t xml:space="preserve"> </w:t>
      </w:r>
      <w:r>
        <w:t xml:space="preserve">used its excess allowances to pay employees’ salaries during a period of prolonged inactivity, an unjust use of public resources that were solely awarded to the company to protect it from environmental costs. </w:t>
      </w:r>
      <w:r w:rsidR="00EA25BF">
        <w:t xml:space="preserve"> </w:t>
      </w:r>
      <w:proofErr w:type="spellStart"/>
      <w:r>
        <w:rPr>
          <w:b/>
          <w:i/>
        </w:rPr>
        <w:t>Arcelor</w:t>
      </w:r>
      <w:proofErr w:type="spellEnd"/>
      <w:r>
        <w:rPr>
          <w:b/>
          <w:i/>
        </w:rPr>
        <w:t xml:space="preserve"> </w:t>
      </w:r>
      <w:proofErr w:type="spellStart"/>
      <w:r>
        <w:rPr>
          <w:b/>
          <w:i/>
        </w:rPr>
        <w:t>Mittal</w:t>
      </w:r>
      <w:proofErr w:type="spellEnd"/>
      <w:r>
        <w:rPr>
          <w:b/>
          <w:i/>
        </w:rPr>
        <w:t xml:space="preserve"> </w:t>
      </w:r>
      <w:r>
        <w:t xml:space="preserve">made the decision to </w:t>
      </w:r>
      <w:r>
        <w:lastRenderedPageBreak/>
        <w:t>prolong the activity of two installations conditional on receiving 14 million additional free EUAs from the Belgian authorities, on top of its already ample surplus. In both bases, the installations were still closed in 2011 and 2012.</w:t>
      </w:r>
    </w:p>
    <w:p w:rsidR="00527D34" w:rsidRPr="00265DE8" w:rsidRDefault="00527D34" w:rsidP="00C010F8">
      <w:pPr>
        <w:jc w:val="both"/>
        <w:rPr>
          <w:i/>
        </w:rPr>
      </w:pPr>
      <w:r>
        <w:t xml:space="preserve">Jan Vandermosten, WWF-Belgium, concludes: </w:t>
      </w:r>
      <w:r w:rsidRPr="00265DE8">
        <w:rPr>
          <w:i/>
        </w:rPr>
        <w:t xml:space="preserve">“our investigation </w:t>
      </w:r>
      <w:r w:rsidR="00265DE8">
        <w:rPr>
          <w:i/>
        </w:rPr>
        <w:t>underscores</w:t>
      </w:r>
      <w:r w:rsidRPr="00265DE8">
        <w:rPr>
          <w:i/>
        </w:rPr>
        <w:t xml:space="preserve"> that companies use public resources</w:t>
      </w:r>
      <w:r w:rsidR="00265DE8">
        <w:rPr>
          <w:i/>
        </w:rPr>
        <w:t xml:space="preserve">, under </w:t>
      </w:r>
      <w:r w:rsidRPr="00265DE8">
        <w:rPr>
          <w:i/>
        </w:rPr>
        <w:t>the form of allocated carbon allowances, for ad-hoc solution</w:t>
      </w:r>
      <w:r w:rsidR="00EA25BF">
        <w:rPr>
          <w:i/>
        </w:rPr>
        <w:t>s</w:t>
      </w:r>
      <w:r w:rsidR="00265DE8">
        <w:rPr>
          <w:i/>
        </w:rPr>
        <w:t xml:space="preserve"> that have no l</w:t>
      </w:r>
      <w:r w:rsidR="00265DE8" w:rsidRPr="00265DE8">
        <w:rPr>
          <w:i/>
        </w:rPr>
        <w:t xml:space="preserve">asting benefit for the environment </w:t>
      </w:r>
      <w:r w:rsidR="00EA25BF">
        <w:rPr>
          <w:i/>
        </w:rPr>
        <w:t>or</w:t>
      </w:r>
      <w:r w:rsidR="00265DE8" w:rsidRPr="00265DE8">
        <w:rPr>
          <w:i/>
        </w:rPr>
        <w:t xml:space="preserve"> employment. Belgian authorities have not undertaken the necessary </w:t>
      </w:r>
      <w:r w:rsidR="00265DE8">
        <w:rPr>
          <w:i/>
        </w:rPr>
        <w:t>steps</w:t>
      </w:r>
      <w:r w:rsidR="00265DE8" w:rsidRPr="00265DE8">
        <w:rPr>
          <w:i/>
        </w:rPr>
        <w:t xml:space="preserve"> to constrain these pr</w:t>
      </w:r>
      <w:r w:rsidR="00265DE8">
        <w:rPr>
          <w:i/>
        </w:rPr>
        <w:t xml:space="preserve">actices. Our industry will profit more from </w:t>
      </w:r>
      <w:r w:rsidR="00265DE8" w:rsidRPr="00265DE8">
        <w:rPr>
          <w:i/>
        </w:rPr>
        <w:t>industrial practices and policies that truly drive sustainabl</w:t>
      </w:r>
      <w:r w:rsidR="00265DE8">
        <w:rPr>
          <w:i/>
        </w:rPr>
        <w:t>e</w:t>
      </w:r>
      <w:r w:rsidR="00265DE8" w:rsidRPr="00265DE8">
        <w:rPr>
          <w:i/>
        </w:rPr>
        <w:t xml:space="preserve"> production processes, and that lay the basis for a competitive low carbon economy.”</w:t>
      </w:r>
    </w:p>
    <w:p w:rsidR="00265DE8" w:rsidRPr="00265DE8" w:rsidRDefault="00265DE8" w:rsidP="00265DE8">
      <w:pPr>
        <w:jc w:val="both"/>
        <w:rPr>
          <w:b/>
        </w:rPr>
      </w:pPr>
      <w:r w:rsidRPr="00265DE8">
        <w:rPr>
          <w:b/>
        </w:rPr>
        <w:t>Reform of the EU ETS: a way out of the crisis</w:t>
      </w:r>
    </w:p>
    <w:p w:rsidR="00265DE8" w:rsidRPr="003C2439" w:rsidRDefault="00265DE8" w:rsidP="00265DE8">
      <w:pPr>
        <w:jc w:val="both"/>
        <w:rPr>
          <w:lang w:val="en-GB"/>
        </w:rPr>
      </w:pPr>
      <w:r>
        <w:t xml:space="preserve">The EU ETS has been underperforming, and will continue to fail unless more is done. The European Commission launched proposals this week to revive the system. As a short term measure, it proposed to </w:t>
      </w:r>
      <w:r w:rsidR="003C2439">
        <w:t>t</w:t>
      </w:r>
      <w:r>
        <w:t>emporarily withhold 900 million EUAs from being auctioned</w:t>
      </w:r>
      <w:r w:rsidRPr="00265DE8">
        <w:t xml:space="preserve"> </w:t>
      </w:r>
      <w:r>
        <w:t xml:space="preserve">until 2019 and 2020. </w:t>
      </w:r>
      <w:r w:rsidRPr="003C2439">
        <w:rPr>
          <w:lang w:val="en-GB"/>
        </w:rPr>
        <w:t xml:space="preserve">It moreover proposed options for </w:t>
      </w:r>
      <w:r w:rsidR="003C2439">
        <w:rPr>
          <w:lang w:val="en-GB"/>
        </w:rPr>
        <w:t xml:space="preserve">permanent </w:t>
      </w:r>
      <w:r w:rsidRPr="003C2439">
        <w:rPr>
          <w:lang w:val="en-GB"/>
        </w:rPr>
        <w:t>structural reforms</w:t>
      </w:r>
      <w:r w:rsidR="003C2439">
        <w:rPr>
          <w:lang w:val="en-GB"/>
        </w:rPr>
        <w:t>, including increasing Europe’s 2020 climate target and making the trajectory of the ETS cap more ambitious</w:t>
      </w:r>
      <w:r w:rsidRPr="003C2439">
        <w:rPr>
          <w:lang w:val="en-GB"/>
        </w:rPr>
        <w:t>.</w:t>
      </w:r>
      <w:r>
        <w:rPr>
          <w:rStyle w:val="FootnoteReference"/>
          <w:lang w:val="nl-BE"/>
        </w:rPr>
        <w:footnoteReference w:id="1"/>
      </w:r>
    </w:p>
    <w:p w:rsidR="003C2439" w:rsidRDefault="00265DE8" w:rsidP="003C2439">
      <w:pPr>
        <w:shd w:val="clear" w:color="auto" w:fill="FFFFFF"/>
        <w:jc w:val="both"/>
        <w:rPr>
          <w:i/>
        </w:rPr>
      </w:pPr>
      <w:r w:rsidRPr="00265DE8">
        <w:t>Damien Morris of Sandbag reacts</w:t>
      </w:r>
      <w:r w:rsidRPr="003C2439">
        <w:rPr>
          <w:i/>
        </w:rPr>
        <w:t xml:space="preserve">: </w:t>
      </w:r>
      <w:r w:rsidR="003C2439" w:rsidRPr="003C2439">
        <w:rPr>
          <w:i/>
        </w:rPr>
        <w:t>“The recession has made the current ETS emissions cap totally obsolete. Instead of driving the substantial domestic emissions reductions intended, the scheme is accumulating massive surpluses of carbon allowances that threaten to waylay Europe’s mitigation efforts for years – if not decades – to come. Belgium and other EU Member States would be far better served by an ETS cap that is aligned with Europe’s new economic circumstances and with its long-term climate goals. We therefore call on Belgian policymakers to vocally support the European Commission’s latest proposals to tighten the supply of ETS allowances over both the near and longer term.”</w:t>
      </w:r>
    </w:p>
    <w:p w:rsidR="00994486" w:rsidRPr="00EA25BF" w:rsidRDefault="00EA25BF" w:rsidP="003C2439">
      <w:pPr>
        <w:shd w:val="clear" w:color="auto" w:fill="FFFFFF"/>
        <w:jc w:val="both"/>
        <w:rPr>
          <w:b/>
        </w:rPr>
      </w:pPr>
      <w:r w:rsidRPr="00EA25BF">
        <w:rPr>
          <w:b/>
        </w:rPr>
        <w:t>ENDS</w:t>
      </w:r>
    </w:p>
    <w:p w:rsidR="00994486" w:rsidRPr="00EA25BF" w:rsidRDefault="00994486" w:rsidP="003C2439">
      <w:pPr>
        <w:shd w:val="clear" w:color="auto" w:fill="FFFFFF"/>
        <w:jc w:val="both"/>
        <w:rPr>
          <w:b/>
        </w:rPr>
      </w:pPr>
      <w:r w:rsidRPr="00EA25BF">
        <w:rPr>
          <w:b/>
        </w:rPr>
        <w:t>For more information please contact</w:t>
      </w:r>
      <w:r w:rsidR="00EA25BF" w:rsidRPr="00EA25BF">
        <w:rPr>
          <w:b/>
        </w:rPr>
        <w:t xml:space="preserve"> either</w:t>
      </w:r>
      <w:r w:rsidRPr="00EA25BF">
        <w:rPr>
          <w:b/>
        </w:rPr>
        <w:t>:</w:t>
      </w:r>
    </w:p>
    <w:p w:rsidR="00EA25BF" w:rsidRDefault="00994486" w:rsidP="00EA25BF">
      <w:pPr>
        <w:shd w:val="clear" w:color="auto" w:fill="FFFFFF"/>
        <w:jc w:val="both"/>
      </w:pPr>
      <w:r>
        <w:t xml:space="preserve"> Jan </w:t>
      </w:r>
      <w:proofErr w:type="spellStart"/>
      <w:r>
        <w:t>Vandermosten</w:t>
      </w:r>
      <w:proofErr w:type="spellEnd"/>
      <w:r>
        <w:t>, Policy Officer at WWF</w:t>
      </w:r>
      <w:r w:rsidR="00EA25BF">
        <w:t xml:space="preserve"> on: </w:t>
      </w:r>
      <w:r w:rsidR="00EA25BF" w:rsidRPr="00EA25BF">
        <w:t>+32 472 83 25 18</w:t>
      </w:r>
      <w:r w:rsidR="00EA25BF">
        <w:t xml:space="preserve"> or </w:t>
      </w:r>
      <w:hyperlink r:id="rId8" w:history="1">
        <w:r w:rsidR="00EA25BF" w:rsidRPr="00EC3D01">
          <w:rPr>
            <w:rStyle w:val="Hyperlink"/>
          </w:rPr>
          <w:t>jan.vandermosten@wwf.be</w:t>
        </w:r>
      </w:hyperlink>
    </w:p>
    <w:p w:rsidR="00994486" w:rsidRDefault="00EA25BF" w:rsidP="003C2439">
      <w:pPr>
        <w:shd w:val="clear" w:color="auto" w:fill="FFFFFF"/>
        <w:jc w:val="both"/>
      </w:pPr>
      <w:r>
        <w:t xml:space="preserve">Damien Morris, Senior Policy Advisor at Sandbag on: +44 791 466 9569 or </w:t>
      </w:r>
      <w:hyperlink r:id="rId9" w:history="1">
        <w:r w:rsidRPr="00EC3D01">
          <w:rPr>
            <w:rStyle w:val="Hyperlink"/>
          </w:rPr>
          <w:t>damien@sandbag.org.uk</w:t>
        </w:r>
      </w:hyperlink>
      <w:r>
        <w:t xml:space="preserve"> </w:t>
      </w:r>
      <w:r w:rsidR="00994486">
        <w:t xml:space="preserve"> </w:t>
      </w:r>
    </w:p>
    <w:sectPr w:rsidR="00994486" w:rsidSect="005519EE">
      <w:headerReference w:type="even" r:id="rId10"/>
      <w:headerReference w:type="default" r:id="rId11"/>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62" w:rsidRDefault="00576862" w:rsidP="00C010F8">
      <w:pPr>
        <w:spacing w:after="0" w:line="240" w:lineRule="auto"/>
      </w:pPr>
      <w:r>
        <w:separator/>
      </w:r>
    </w:p>
  </w:endnote>
  <w:endnote w:type="continuationSeparator" w:id="0">
    <w:p w:rsidR="00576862" w:rsidRDefault="00576862" w:rsidP="00C0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62" w:rsidRDefault="00576862" w:rsidP="00C010F8">
      <w:pPr>
        <w:spacing w:after="0" w:line="240" w:lineRule="auto"/>
      </w:pPr>
      <w:r>
        <w:separator/>
      </w:r>
    </w:p>
  </w:footnote>
  <w:footnote w:type="continuationSeparator" w:id="0">
    <w:p w:rsidR="00576862" w:rsidRDefault="00576862" w:rsidP="00C010F8">
      <w:pPr>
        <w:spacing w:after="0" w:line="240" w:lineRule="auto"/>
      </w:pPr>
      <w:r>
        <w:continuationSeparator/>
      </w:r>
    </w:p>
  </w:footnote>
  <w:footnote w:id="1">
    <w:p w:rsidR="00265DE8" w:rsidRPr="003C2439" w:rsidRDefault="00265DE8" w:rsidP="00265DE8">
      <w:pPr>
        <w:pStyle w:val="FootnoteText"/>
        <w:rPr>
          <w:lang w:val="en-GB"/>
        </w:rPr>
      </w:pPr>
      <w:r>
        <w:rPr>
          <w:rStyle w:val="FootnoteReference"/>
        </w:rPr>
        <w:footnoteRef/>
      </w:r>
      <w:r w:rsidRPr="003C2439">
        <w:rPr>
          <w:lang w:val="en-GB"/>
        </w:rPr>
        <w:t xml:space="preserve"> </w:t>
      </w:r>
      <w:r w:rsidR="003C2439" w:rsidRPr="003C2439">
        <w:rPr>
          <w:lang w:val="en-GB"/>
        </w:rPr>
        <w:t>For more information</w:t>
      </w:r>
      <w:r w:rsidRPr="003C2439">
        <w:rPr>
          <w:lang w:val="en-GB"/>
        </w:rPr>
        <w:t xml:space="preserve">: </w:t>
      </w:r>
      <w:hyperlink r:id="rId1" w:history="1">
        <w:r w:rsidRPr="003C2439">
          <w:rPr>
            <w:rStyle w:val="Hyperlink"/>
            <w:lang w:val="en-GB"/>
          </w:rPr>
          <w:t>http://europa.eu/rapid/press-release_IP-12-1208_en.htm</w:t>
        </w:r>
      </w:hyperlink>
      <w:r w:rsidRPr="003C2439">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EE" w:rsidRDefault="005519EE">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219075</wp:posOffset>
          </wp:positionV>
          <wp:extent cx="1914525" cy="819150"/>
          <wp:effectExtent l="19050" t="0" r="9525" b="0"/>
          <wp:wrapNone/>
          <wp:docPr id="3" name="Picture 2" descr="http://www.sandbag.org.uk/site_media/images/sandb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dbag.org.uk/site_media/images/sandbaglogo.jpg"/>
                  <pic:cNvPicPr>
                    <a:picLocks noChangeAspect="1" noChangeArrowheads="1"/>
                  </pic:cNvPicPr>
                </pic:nvPicPr>
                <pic:blipFill>
                  <a:blip r:embed="rId1"/>
                  <a:srcRect/>
                  <a:stretch>
                    <a:fillRect/>
                  </a:stretch>
                </pic:blipFill>
                <pic:spPr bwMode="auto">
                  <a:xfrm>
                    <a:off x="0" y="0"/>
                    <a:ext cx="1914525" cy="819150"/>
                  </a:xfrm>
                  <a:prstGeom prst="rect">
                    <a:avLst/>
                  </a:prstGeom>
                  <a:noFill/>
                  <a:ln w="9525">
                    <a:noFill/>
                    <a:miter lim="800000"/>
                    <a:headEnd/>
                    <a:tailEnd/>
                  </a:ln>
                </pic:spPr>
              </pic:pic>
            </a:graphicData>
          </a:graphic>
        </wp:anchor>
      </w:drawing>
    </w:r>
    <w:r w:rsidR="00994486">
      <w:rPr>
        <w:noProof/>
        <w:lang w:val="en-GB" w:eastAsia="en-GB"/>
      </w:rPr>
      <w:drawing>
        <wp:inline distT="0" distB="0" distL="0" distR="0">
          <wp:extent cx="1363319" cy="1438275"/>
          <wp:effectExtent l="19050" t="0" r="8281" b="0"/>
          <wp:docPr id="2" name="Picture 1" descr="C:\Users\Admin.Damien-netbook\Downloads\masterPandaBoxWhite_darkbackground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amien-netbook\Downloads\masterPandaBoxWhite_darkbackground_low.jpg"/>
                  <pic:cNvPicPr>
                    <a:picLocks noChangeAspect="1" noChangeArrowheads="1"/>
                  </pic:cNvPicPr>
                </pic:nvPicPr>
                <pic:blipFill>
                  <a:blip r:embed="rId2"/>
                  <a:srcRect t="6322" r="-47" b="6897"/>
                  <a:stretch>
                    <a:fillRect/>
                  </a:stretch>
                </pic:blipFill>
                <pic:spPr bwMode="auto">
                  <a:xfrm>
                    <a:off x="0" y="0"/>
                    <a:ext cx="1363319" cy="1438275"/>
                  </a:xfrm>
                  <a:prstGeom prst="rect">
                    <a:avLst/>
                  </a:prstGeom>
                  <a:noFill/>
                  <a:ln w="9525">
                    <a:noFill/>
                    <a:miter lim="800000"/>
                    <a:headEnd/>
                    <a:tailEnd/>
                  </a:ln>
                </pic:spPr>
              </pic:pic>
            </a:graphicData>
          </a:graphic>
        </wp:inline>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010F8"/>
    <w:rsid w:val="00006E05"/>
    <w:rsid w:val="000162EF"/>
    <w:rsid w:val="000331D4"/>
    <w:rsid w:val="00043A5C"/>
    <w:rsid w:val="000857AD"/>
    <w:rsid w:val="00086CF0"/>
    <w:rsid w:val="000911B1"/>
    <w:rsid w:val="00112008"/>
    <w:rsid w:val="00114309"/>
    <w:rsid w:val="00123388"/>
    <w:rsid w:val="00131B76"/>
    <w:rsid w:val="00150FAC"/>
    <w:rsid w:val="00164B1B"/>
    <w:rsid w:val="001673DA"/>
    <w:rsid w:val="001B44AF"/>
    <w:rsid w:val="001D51C2"/>
    <w:rsid w:val="001F2C0C"/>
    <w:rsid w:val="002476DB"/>
    <w:rsid w:val="00265DE8"/>
    <w:rsid w:val="00282F12"/>
    <w:rsid w:val="0032354A"/>
    <w:rsid w:val="00360858"/>
    <w:rsid w:val="00382E2E"/>
    <w:rsid w:val="003C2439"/>
    <w:rsid w:val="003C6300"/>
    <w:rsid w:val="003D4804"/>
    <w:rsid w:val="00457334"/>
    <w:rsid w:val="004A6F43"/>
    <w:rsid w:val="005004C6"/>
    <w:rsid w:val="00511E1C"/>
    <w:rsid w:val="0051321F"/>
    <w:rsid w:val="00527D34"/>
    <w:rsid w:val="005476D7"/>
    <w:rsid w:val="005519EE"/>
    <w:rsid w:val="00556C40"/>
    <w:rsid w:val="00561B00"/>
    <w:rsid w:val="00562311"/>
    <w:rsid w:val="00576862"/>
    <w:rsid w:val="00593B29"/>
    <w:rsid w:val="005A3E34"/>
    <w:rsid w:val="005E127D"/>
    <w:rsid w:val="005F4176"/>
    <w:rsid w:val="00656BB7"/>
    <w:rsid w:val="00657437"/>
    <w:rsid w:val="00674323"/>
    <w:rsid w:val="0072341D"/>
    <w:rsid w:val="00755DAF"/>
    <w:rsid w:val="007957AE"/>
    <w:rsid w:val="00840D42"/>
    <w:rsid w:val="008410C4"/>
    <w:rsid w:val="008422FE"/>
    <w:rsid w:val="00914A0A"/>
    <w:rsid w:val="0091749C"/>
    <w:rsid w:val="00960284"/>
    <w:rsid w:val="0096792F"/>
    <w:rsid w:val="00970485"/>
    <w:rsid w:val="009802DB"/>
    <w:rsid w:val="00994486"/>
    <w:rsid w:val="00995759"/>
    <w:rsid w:val="009A2224"/>
    <w:rsid w:val="009D526F"/>
    <w:rsid w:val="009D6199"/>
    <w:rsid w:val="00A476AB"/>
    <w:rsid w:val="00A52A28"/>
    <w:rsid w:val="00A86968"/>
    <w:rsid w:val="00B0057B"/>
    <w:rsid w:val="00B2187A"/>
    <w:rsid w:val="00B31E21"/>
    <w:rsid w:val="00B4265F"/>
    <w:rsid w:val="00B45CA9"/>
    <w:rsid w:val="00BC3CFE"/>
    <w:rsid w:val="00C010F8"/>
    <w:rsid w:val="00C37BD2"/>
    <w:rsid w:val="00C52823"/>
    <w:rsid w:val="00C5765A"/>
    <w:rsid w:val="00CC7E38"/>
    <w:rsid w:val="00CD31CF"/>
    <w:rsid w:val="00CF117F"/>
    <w:rsid w:val="00D01A36"/>
    <w:rsid w:val="00D81472"/>
    <w:rsid w:val="00D90EB3"/>
    <w:rsid w:val="00DB2FCA"/>
    <w:rsid w:val="00DD1E20"/>
    <w:rsid w:val="00DF7E14"/>
    <w:rsid w:val="00E46442"/>
    <w:rsid w:val="00E631CC"/>
    <w:rsid w:val="00E8333E"/>
    <w:rsid w:val="00E87488"/>
    <w:rsid w:val="00E975CE"/>
    <w:rsid w:val="00EA25BF"/>
    <w:rsid w:val="00ED0134"/>
    <w:rsid w:val="00EE5222"/>
    <w:rsid w:val="00F00612"/>
    <w:rsid w:val="00F824F7"/>
    <w:rsid w:val="00F962A7"/>
    <w:rsid w:val="00F9722C"/>
    <w:rsid w:val="00FB05E6"/>
    <w:rsid w:val="00FC3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10F8"/>
  </w:style>
  <w:style w:type="paragraph" w:styleId="Footer">
    <w:name w:val="footer"/>
    <w:basedOn w:val="Normal"/>
    <w:link w:val="FooterChar"/>
    <w:uiPriority w:val="99"/>
    <w:semiHidden/>
    <w:unhideWhenUsed/>
    <w:rsid w:val="00C010F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010F8"/>
  </w:style>
  <w:style w:type="character" w:styleId="CommentReference">
    <w:name w:val="annotation reference"/>
    <w:basedOn w:val="DefaultParagraphFont"/>
    <w:uiPriority w:val="99"/>
    <w:semiHidden/>
    <w:unhideWhenUsed/>
    <w:rsid w:val="00086CF0"/>
    <w:rPr>
      <w:sz w:val="16"/>
      <w:szCs w:val="16"/>
    </w:rPr>
  </w:style>
  <w:style w:type="paragraph" w:styleId="CommentText">
    <w:name w:val="annotation text"/>
    <w:basedOn w:val="Normal"/>
    <w:link w:val="CommentTextChar"/>
    <w:uiPriority w:val="99"/>
    <w:semiHidden/>
    <w:unhideWhenUsed/>
    <w:rsid w:val="00086CF0"/>
    <w:pPr>
      <w:spacing w:line="240" w:lineRule="auto"/>
    </w:pPr>
    <w:rPr>
      <w:sz w:val="20"/>
      <w:szCs w:val="20"/>
    </w:rPr>
  </w:style>
  <w:style w:type="character" w:customStyle="1" w:styleId="CommentTextChar">
    <w:name w:val="Comment Text Char"/>
    <w:basedOn w:val="DefaultParagraphFont"/>
    <w:link w:val="CommentText"/>
    <w:uiPriority w:val="99"/>
    <w:semiHidden/>
    <w:rsid w:val="00086CF0"/>
    <w:rPr>
      <w:sz w:val="20"/>
      <w:szCs w:val="20"/>
    </w:rPr>
  </w:style>
  <w:style w:type="paragraph" w:styleId="CommentSubject">
    <w:name w:val="annotation subject"/>
    <w:basedOn w:val="CommentText"/>
    <w:next w:val="CommentText"/>
    <w:link w:val="CommentSubjectChar"/>
    <w:uiPriority w:val="99"/>
    <w:semiHidden/>
    <w:unhideWhenUsed/>
    <w:rsid w:val="00086CF0"/>
    <w:rPr>
      <w:b/>
      <w:bCs/>
    </w:rPr>
  </w:style>
  <w:style w:type="character" w:customStyle="1" w:styleId="CommentSubjectChar">
    <w:name w:val="Comment Subject Char"/>
    <w:basedOn w:val="CommentTextChar"/>
    <w:link w:val="CommentSubject"/>
    <w:uiPriority w:val="99"/>
    <w:semiHidden/>
    <w:rsid w:val="00086CF0"/>
    <w:rPr>
      <w:b/>
      <w:bCs/>
    </w:rPr>
  </w:style>
  <w:style w:type="paragraph" w:styleId="BalloonText">
    <w:name w:val="Balloon Text"/>
    <w:basedOn w:val="Normal"/>
    <w:link w:val="BalloonTextChar"/>
    <w:uiPriority w:val="99"/>
    <w:semiHidden/>
    <w:unhideWhenUsed/>
    <w:rsid w:val="0008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F0"/>
    <w:rPr>
      <w:rFonts w:ascii="Tahoma" w:hAnsi="Tahoma" w:cs="Tahoma"/>
      <w:sz w:val="16"/>
      <w:szCs w:val="16"/>
    </w:rPr>
  </w:style>
  <w:style w:type="paragraph" w:styleId="FootnoteText">
    <w:name w:val="footnote text"/>
    <w:basedOn w:val="Normal"/>
    <w:link w:val="FootnoteTextChar"/>
    <w:uiPriority w:val="99"/>
    <w:semiHidden/>
    <w:unhideWhenUsed/>
    <w:rsid w:val="00091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1B1"/>
    <w:rPr>
      <w:sz w:val="20"/>
      <w:szCs w:val="20"/>
    </w:rPr>
  </w:style>
  <w:style w:type="character" w:styleId="FootnoteReference">
    <w:name w:val="footnote reference"/>
    <w:basedOn w:val="DefaultParagraphFont"/>
    <w:uiPriority w:val="99"/>
    <w:semiHidden/>
    <w:unhideWhenUsed/>
    <w:rsid w:val="000911B1"/>
    <w:rPr>
      <w:vertAlign w:val="superscript"/>
    </w:rPr>
  </w:style>
  <w:style w:type="character" w:styleId="Hyperlink">
    <w:name w:val="Hyperlink"/>
    <w:basedOn w:val="DefaultParagraphFont"/>
    <w:uiPriority w:val="99"/>
    <w:unhideWhenUsed/>
    <w:rsid w:val="00265D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5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vandermosten@wwf.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mien@sandbag.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IP-12-1208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wwf-dc02.wwf.be\wwf-Belgium\Programmes\Climate\Klimaat\Beleid\ETS\Fatcats%20201210%20Combined%20Belgium%20with%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v>Emissions</c:v>
          </c:tx>
          <c:spPr>
            <a:solidFill>
              <a:schemeClr val="bg1">
                <a:lumMod val="65000"/>
              </a:schemeClr>
            </a:solidFill>
          </c:spPr>
          <c:dLbls>
            <c:txPr>
              <a:bodyPr/>
              <a:lstStyle/>
              <a:p>
                <a:pPr>
                  <a:defRPr lang="en-US" b="0"/>
                </a:pPr>
                <a:endParaRPr lang="en-US"/>
              </a:p>
            </c:txPr>
            <c:dLblPos val="inBase"/>
            <c:showVal val="1"/>
          </c:dLbls>
          <c:cat>
            <c:strRef>
              <c:f>'Fatcats summary sheet'!$I$2:$I$11</c:f>
              <c:strCache>
                <c:ptCount val="10"/>
                <c:pt idx="0">
                  <c:v>Duferco</c:v>
                </c:pt>
                <c:pt idx="1">
                  <c:v>Arcelor Mittal</c:v>
                </c:pt>
                <c:pt idx="2">
                  <c:v>BASF</c:v>
                </c:pt>
                <c:pt idx="3">
                  <c:v>EDF</c:v>
                </c:pt>
                <c:pt idx="4">
                  <c:v>Total</c:v>
                </c:pt>
                <c:pt idx="5">
                  <c:v>Lhoist</c:v>
                </c:pt>
                <c:pt idx="6">
                  <c:v>Heidelberg Cement</c:v>
                </c:pt>
                <c:pt idx="7">
                  <c:v>Carmeuse</c:v>
                </c:pt>
                <c:pt idx="8">
                  <c:v>Air Liquide</c:v>
                </c:pt>
                <c:pt idx="9">
                  <c:v>Holcim</c:v>
                </c:pt>
              </c:strCache>
            </c:strRef>
          </c:cat>
          <c:val>
            <c:numRef>
              <c:f>'Fatcats summary sheet'!$J$2:$J$11</c:f>
              <c:numCache>
                <c:formatCode>#,##0</c:formatCode>
                <c:ptCount val="10"/>
                <c:pt idx="0">
                  <c:v>3556783</c:v>
                </c:pt>
                <c:pt idx="1">
                  <c:v>26846995</c:v>
                </c:pt>
                <c:pt idx="2">
                  <c:v>8090060</c:v>
                </c:pt>
                <c:pt idx="3">
                  <c:v>6960538</c:v>
                </c:pt>
                <c:pt idx="4">
                  <c:v>19695325</c:v>
                </c:pt>
                <c:pt idx="5">
                  <c:v>7461991</c:v>
                </c:pt>
                <c:pt idx="6">
                  <c:v>7148512</c:v>
                </c:pt>
                <c:pt idx="7">
                  <c:v>3098008</c:v>
                </c:pt>
                <c:pt idx="8">
                  <c:v>1271365</c:v>
                </c:pt>
                <c:pt idx="9">
                  <c:v>4908317</c:v>
                </c:pt>
              </c:numCache>
            </c:numRef>
          </c:val>
        </c:ser>
        <c:ser>
          <c:idx val="1"/>
          <c:order val="1"/>
          <c:tx>
            <c:v>Surplus</c:v>
          </c:tx>
          <c:spPr>
            <a:solidFill>
              <a:srgbClr val="FF0000"/>
            </a:solidFill>
          </c:spPr>
          <c:dLbls>
            <c:txPr>
              <a:bodyPr/>
              <a:lstStyle/>
              <a:p>
                <a:pPr>
                  <a:defRPr lang="en-US" b="0"/>
                </a:pPr>
                <a:endParaRPr lang="en-US"/>
              </a:p>
            </c:txPr>
            <c:dLblPos val="ctr"/>
            <c:showVal val="1"/>
          </c:dLbls>
          <c:cat>
            <c:strRef>
              <c:f>'Fatcats summary sheet'!$I$2:$I$11</c:f>
              <c:strCache>
                <c:ptCount val="10"/>
                <c:pt idx="0">
                  <c:v>Duferco</c:v>
                </c:pt>
                <c:pt idx="1">
                  <c:v>Arcelor Mittal</c:v>
                </c:pt>
                <c:pt idx="2">
                  <c:v>BASF</c:v>
                </c:pt>
                <c:pt idx="3">
                  <c:v>EDF</c:v>
                </c:pt>
                <c:pt idx="4">
                  <c:v>Total</c:v>
                </c:pt>
                <c:pt idx="5">
                  <c:v>Lhoist</c:v>
                </c:pt>
                <c:pt idx="6">
                  <c:v>Heidelberg Cement</c:v>
                </c:pt>
                <c:pt idx="7">
                  <c:v>Carmeuse</c:v>
                </c:pt>
                <c:pt idx="8">
                  <c:v>Air Liquide</c:v>
                </c:pt>
                <c:pt idx="9">
                  <c:v>Holcim</c:v>
                </c:pt>
              </c:strCache>
            </c:strRef>
          </c:cat>
          <c:val>
            <c:numRef>
              <c:f>'Fatcats summary sheet'!$K$2:$K$11</c:f>
              <c:numCache>
                <c:formatCode>#,##0</c:formatCode>
                <c:ptCount val="10"/>
                <c:pt idx="0">
                  <c:v>12251131</c:v>
                </c:pt>
                <c:pt idx="1">
                  <c:v>5701057</c:v>
                </c:pt>
                <c:pt idx="2">
                  <c:v>1784012</c:v>
                </c:pt>
                <c:pt idx="3">
                  <c:v>1743961</c:v>
                </c:pt>
                <c:pt idx="4">
                  <c:v>1732694</c:v>
                </c:pt>
                <c:pt idx="5">
                  <c:v>1646874</c:v>
                </c:pt>
                <c:pt idx="6">
                  <c:v>1191166</c:v>
                </c:pt>
                <c:pt idx="7">
                  <c:v>1138733</c:v>
                </c:pt>
                <c:pt idx="8">
                  <c:v>987863</c:v>
                </c:pt>
                <c:pt idx="9">
                  <c:v>916402</c:v>
                </c:pt>
              </c:numCache>
            </c:numRef>
          </c:val>
        </c:ser>
        <c:gapWidth val="86"/>
        <c:overlap val="100"/>
        <c:axId val="137567232"/>
        <c:axId val="138824320"/>
      </c:barChart>
      <c:catAx>
        <c:axId val="137567232"/>
        <c:scaling>
          <c:orientation val="minMax"/>
        </c:scaling>
        <c:axPos val="b"/>
        <c:tickLblPos val="nextTo"/>
        <c:txPr>
          <a:bodyPr/>
          <a:lstStyle/>
          <a:p>
            <a:pPr>
              <a:defRPr lang="en-US"/>
            </a:pPr>
            <a:endParaRPr lang="en-US"/>
          </a:p>
        </c:txPr>
        <c:crossAx val="138824320"/>
        <c:crosses val="autoZero"/>
        <c:auto val="1"/>
        <c:lblAlgn val="ctr"/>
        <c:lblOffset val="100"/>
      </c:catAx>
      <c:valAx>
        <c:axId val="138824320"/>
        <c:scaling>
          <c:orientation val="minMax"/>
        </c:scaling>
        <c:axPos val="l"/>
        <c:majorGridlines/>
        <c:numFmt formatCode="#,##0" sourceLinked="1"/>
        <c:tickLblPos val="nextTo"/>
        <c:txPr>
          <a:bodyPr/>
          <a:lstStyle/>
          <a:p>
            <a:pPr>
              <a:defRPr lang="en-US"/>
            </a:pPr>
            <a:endParaRPr lang="en-US"/>
          </a:p>
        </c:txPr>
        <c:crossAx val="137567232"/>
        <c:crosses val="autoZero"/>
        <c:crossBetween val="between"/>
        <c:dispUnits>
          <c:builtInUnit val="millions"/>
          <c:dispUnitsLbl>
            <c:layout>
              <c:manualLayout>
                <c:xMode val="edge"/>
                <c:yMode val="edge"/>
                <c:x val="4.7058833216784154E-2"/>
                <c:y val="2.9021849975759855E-4"/>
              </c:manualLayout>
            </c:layout>
            <c:tx>
              <c:rich>
                <a:bodyPr/>
                <a:lstStyle/>
                <a:p>
                  <a:pPr>
                    <a:defRPr lang="en-US"/>
                  </a:pPr>
                  <a:r>
                    <a:rPr lang="en-GB"/>
                    <a:t>MtCO2e</a:t>
                  </a:r>
                </a:p>
              </c:rich>
            </c:tx>
          </c:dispUnitsLbl>
        </c:dispUnits>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5D29-67DB-4CA9-B5BB-BE8C45F6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janv</dc:creator>
  <cp:lastModifiedBy>Damien Morris</cp:lastModifiedBy>
  <cp:revision>5</cp:revision>
  <dcterms:created xsi:type="dcterms:W3CDTF">2012-11-15T10:07:00Z</dcterms:created>
  <dcterms:modified xsi:type="dcterms:W3CDTF">2012-11-15T16:54:00Z</dcterms:modified>
</cp:coreProperties>
</file>