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FBE03" w14:textId="4253F486" w:rsidR="00DE114B" w:rsidRDefault="00DE114B" w:rsidP="00443FCC">
      <w:pPr>
        <w:pStyle w:val="NoSpacing"/>
        <w:jc w:val="center"/>
        <w:rPr>
          <w:b/>
          <w:lang w:val="en-GB"/>
        </w:rPr>
      </w:pPr>
      <w:r>
        <w:rPr>
          <w:b/>
          <w:lang w:val="en-GB"/>
        </w:rPr>
        <w:t>The Final Carbon Fat</w:t>
      </w:r>
      <w:r w:rsidR="00855C69">
        <w:rPr>
          <w:b/>
          <w:lang w:val="en-GB"/>
        </w:rPr>
        <w:t>c</w:t>
      </w:r>
      <w:bookmarkStart w:id="0" w:name="_GoBack"/>
      <w:bookmarkEnd w:id="0"/>
      <w:r>
        <w:rPr>
          <w:b/>
          <w:lang w:val="en-GB"/>
        </w:rPr>
        <w:t xml:space="preserve">at: </w:t>
      </w:r>
    </w:p>
    <w:p w14:paraId="0E1E62E0" w14:textId="5853D3C5" w:rsidR="00025E95" w:rsidRDefault="00DE114B" w:rsidP="00443FCC">
      <w:pPr>
        <w:pStyle w:val="NoSpacing"/>
        <w:jc w:val="center"/>
        <w:rPr>
          <w:b/>
          <w:color w:val="222222"/>
          <w:shd w:val="clear" w:color="auto" w:fill="FFFFFF"/>
          <w:lang w:val="en-GB"/>
        </w:rPr>
      </w:pPr>
      <w:r>
        <w:rPr>
          <w:b/>
          <w:lang w:val="en-GB"/>
        </w:rPr>
        <w:t xml:space="preserve">How Europe’s cement sector benefits </w:t>
      </w:r>
      <w:r w:rsidR="00F63348">
        <w:rPr>
          <w:b/>
          <w:lang w:val="en-GB"/>
        </w:rPr>
        <w:t xml:space="preserve">and the climate suffers </w:t>
      </w:r>
      <w:r>
        <w:rPr>
          <w:b/>
          <w:lang w:val="en-GB"/>
        </w:rPr>
        <w:t>from emissions trading flaws</w:t>
      </w:r>
    </w:p>
    <w:p w14:paraId="22810739" w14:textId="2F4DB1B9" w:rsidR="00BA6F24" w:rsidRPr="00320162" w:rsidRDefault="00BA6F24" w:rsidP="009A1EF6">
      <w:pPr>
        <w:pStyle w:val="NoSpacing"/>
        <w:jc w:val="center"/>
        <w:rPr>
          <w:rFonts w:cs="Times New Roman"/>
          <w:lang w:val="en-GB"/>
        </w:rPr>
      </w:pPr>
      <w:r w:rsidRPr="00320162">
        <w:rPr>
          <w:lang w:val="en-GB"/>
        </w:rPr>
        <w:t xml:space="preserve">Embargoed until </w:t>
      </w:r>
      <w:r w:rsidR="003157D3" w:rsidRPr="00320162">
        <w:rPr>
          <w:lang w:val="en-GB"/>
        </w:rPr>
        <w:t xml:space="preserve">23:59 </w:t>
      </w:r>
      <w:r w:rsidRPr="00320162">
        <w:rPr>
          <w:lang w:val="en-GB"/>
        </w:rPr>
        <w:t>on Tuesday 15th March</w:t>
      </w:r>
    </w:p>
    <w:p w14:paraId="2DE00612" w14:textId="77777777" w:rsidR="00BA6F24" w:rsidRPr="00320162" w:rsidRDefault="00BA6F24" w:rsidP="00443FCC">
      <w:pPr>
        <w:pStyle w:val="NoSpacing"/>
        <w:jc w:val="center"/>
        <w:rPr>
          <w:rFonts w:cs="Times New Roman"/>
          <w:lang w:val="en-GB"/>
        </w:rPr>
      </w:pPr>
      <w:r w:rsidRPr="00320162">
        <w:rPr>
          <w:lang w:val="en-GB"/>
        </w:rPr>
        <w:t>For comment / more information, contact Alex Luta:</w:t>
      </w:r>
    </w:p>
    <w:p w14:paraId="0655BA62" w14:textId="02D1D80A" w:rsidR="00BA6F24" w:rsidRPr="00320162" w:rsidRDefault="00E15ED9" w:rsidP="00443FCC">
      <w:pPr>
        <w:pStyle w:val="NoSpacing"/>
        <w:jc w:val="center"/>
        <w:rPr>
          <w:rFonts w:cs="Times New Roman"/>
          <w:lang w:val="en-GB"/>
        </w:rPr>
      </w:pPr>
      <w:r>
        <w:rPr>
          <w:color w:val="1155CC"/>
          <w:u w:val="single"/>
          <w:lang w:val="en-GB"/>
        </w:rPr>
        <w:t>alex</w:t>
      </w:r>
      <w:r w:rsidR="00BA6F24" w:rsidRPr="00320162">
        <w:rPr>
          <w:color w:val="1155CC"/>
          <w:u w:val="single"/>
          <w:lang w:val="en-GB"/>
        </w:rPr>
        <w:t>@sandbag.org.uk</w:t>
      </w:r>
      <w:r w:rsidR="00BA6F24" w:rsidRPr="00320162">
        <w:rPr>
          <w:lang w:val="en-GB"/>
        </w:rPr>
        <w:t xml:space="preserve">, </w:t>
      </w:r>
      <w:r w:rsidR="001201EE">
        <w:rPr>
          <w:lang w:val="en-GB"/>
        </w:rPr>
        <w:t>Mobile: +44 (0)</w:t>
      </w:r>
      <w:r w:rsidR="001201EE" w:rsidRPr="00320162">
        <w:rPr>
          <w:lang w:val="en-GB"/>
        </w:rPr>
        <w:t>7-732-989-456</w:t>
      </w:r>
      <w:r w:rsidR="001201EE">
        <w:rPr>
          <w:lang w:val="en-GB"/>
        </w:rPr>
        <w:t xml:space="preserve">, Office:  </w:t>
      </w:r>
      <w:r w:rsidR="00BA6F24" w:rsidRPr="00320162">
        <w:rPr>
          <w:lang w:val="en-GB"/>
        </w:rPr>
        <w:t>+44</w:t>
      </w:r>
      <w:r w:rsidR="00AD0110">
        <w:rPr>
          <w:rFonts w:ascii="Lato-Bold" w:hAnsi="Lato-Bold" w:cs="Lato-Bold"/>
          <w:b/>
          <w:bCs/>
          <w:outline/>
          <w:color w:val="232A33"/>
          <w:sz w:val="34"/>
          <w:szCs w:val="34"/>
        </w:rPr>
        <w:t xml:space="preserve"> </w:t>
      </w:r>
      <w:r w:rsidR="00AD0110" w:rsidRPr="001201EE">
        <w:rPr>
          <w:lang w:val="en-GB"/>
        </w:rPr>
        <w:t>(0)207</w:t>
      </w:r>
      <w:r w:rsidR="001201EE">
        <w:rPr>
          <w:lang w:val="en-GB"/>
        </w:rPr>
        <w:t>-</w:t>
      </w:r>
      <w:r w:rsidR="00AD0110" w:rsidRPr="001201EE">
        <w:rPr>
          <w:lang w:val="en-GB"/>
        </w:rPr>
        <w:t>148</w:t>
      </w:r>
      <w:r w:rsidR="001201EE">
        <w:rPr>
          <w:lang w:val="en-GB"/>
        </w:rPr>
        <w:t>-</w:t>
      </w:r>
      <w:r w:rsidR="00AD0110" w:rsidRPr="001201EE">
        <w:rPr>
          <w:lang w:val="en-GB"/>
        </w:rPr>
        <w:t>6377</w:t>
      </w:r>
      <w:r w:rsidR="001201EE">
        <w:rPr>
          <w:lang w:val="en-GB"/>
        </w:rPr>
        <w:t xml:space="preserve"> </w:t>
      </w:r>
    </w:p>
    <w:p w14:paraId="67816A8D" w14:textId="16E74E62" w:rsidR="00B51613" w:rsidRPr="00320162" w:rsidRDefault="00BA6F24" w:rsidP="00443FCC">
      <w:pPr>
        <w:pStyle w:val="NoSpacing"/>
        <w:rPr>
          <w:rFonts w:cs="Times New Roman"/>
          <w:lang w:val="en-GB"/>
        </w:rPr>
      </w:pPr>
      <w:r w:rsidRPr="00025E95">
        <w:rPr>
          <w:rFonts w:cs="Times New Roman"/>
          <w:lang w:val="en-GB"/>
        </w:rPr>
        <w:br/>
      </w:r>
      <w:r w:rsidRPr="00025E95">
        <w:rPr>
          <w:rFonts w:cs="Times New Roman"/>
          <w:lang w:val="en-GB"/>
        </w:rPr>
        <w:br/>
      </w:r>
      <w:hyperlink r:id="rId8" w:history="1">
        <w:r w:rsidRPr="00CB4D64">
          <w:rPr>
            <w:rStyle w:val="Hyperlink"/>
            <w:rFonts w:cs="Times New Roman"/>
            <w:lang w:val="en-GB"/>
          </w:rPr>
          <w:t>Sandbag’s new report</w:t>
        </w:r>
      </w:hyperlink>
      <w:r w:rsidR="00DE114B">
        <w:rPr>
          <w:rFonts w:cs="Times New Roman"/>
          <w:lang w:val="en-GB"/>
        </w:rPr>
        <w:t xml:space="preserve"> </w:t>
      </w:r>
      <w:r w:rsidR="0058120F">
        <w:rPr>
          <w:rFonts w:cs="Times New Roman"/>
          <w:lang w:val="en-GB"/>
        </w:rPr>
        <w:t>reveals the European</w:t>
      </w:r>
      <w:r w:rsidR="00E15ED9">
        <w:rPr>
          <w:rFonts w:cs="Times New Roman"/>
          <w:lang w:val="en-GB"/>
        </w:rPr>
        <w:t xml:space="preserve"> cement sector </w:t>
      </w:r>
      <w:r w:rsidR="00DE114B">
        <w:rPr>
          <w:rFonts w:cs="Times New Roman"/>
          <w:lang w:val="en-GB"/>
        </w:rPr>
        <w:t xml:space="preserve">is </w:t>
      </w:r>
      <w:r w:rsidR="002263EF">
        <w:rPr>
          <w:rFonts w:cs="Times New Roman"/>
          <w:lang w:val="en-GB"/>
        </w:rPr>
        <w:t>reaping huge financial benefits</w:t>
      </w:r>
      <w:r w:rsidR="00DE114B">
        <w:rPr>
          <w:rFonts w:cs="Times New Roman"/>
          <w:lang w:val="en-GB"/>
        </w:rPr>
        <w:t xml:space="preserve"> from </w:t>
      </w:r>
      <w:r w:rsidR="00F63348">
        <w:rPr>
          <w:rFonts w:cs="Times New Roman"/>
          <w:lang w:val="en-GB"/>
        </w:rPr>
        <w:t>climate laws</w:t>
      </w:r>
      <w:r w:rsidR="00DE114B">
        <w:rPr>
          <w:rFonts w:cs="Times New Roman"/>
          <w:lang w:val="en-GB"/>
        </w:rPr>
        <w:t xml:space="preserve">, adding to company profits and encouraging </w:t>
      </w:r>
      <w:r w:rsidR="00F63348">
        <w:rPr>
          <w:rFonts w:cs="Times New Roman"/>
          <w:lang w:val="en-GB"/>
        </w:rPr>
        <w:t xml:space="preserve">the </w:t>
      </w:r>
      <w:r w:rsidR="00DE114B">
        <w:rPr>
          <w:rFonts w:cs="Times New Roman"/>
          <w:lang w:val="en-GB"/>
        </w:rPr>
        <w:t xml:space="preserve">import of emissions from other countries.  </w:t>
      </w:r>
    </w:p>
    <w:p w14:paraId="6CD18392" w14:textId="77777777" w:rsidR="00B51613" w:rsidRPr="00320162" w:rsidRDefault="00B51613" w:rsidP="00443FCC">
      <w:pPr>
        <w:pStyle w:val="NoSpacing"/>
        <w:rPr>
          <w:rFonts w:cs="Times New Roman"/>
          <w:lang w:val="en-GB"/>
        </w:rPr>
      </w:pPr>
    </w:p>
    <w:p w14:paraId="76B00732" w14:textId="1F7659FE" w:rsidR="002263EF" w:rsidRDefault="004420BC" w:rsidP="00443FCC">
      <w:pPr>
        <w:pStyle w:val="NoSpacing"/>
        <w:rPr>
          <w:rFonts w:cs="Times New Roman"/>
          <w:lang w:val="en-GB"/>
        </w:rPr>
      </w:pPr>
      <w:r w:rsidRPr="00320162">
        <w:rPr>
          <w:rFonts w:cs="Times New Roman"/>
          <w:lang w:val="en-GB"/>
        </w:rPr>
        <w:t>P</w:t>
      </w:r>
      <w:r w:rsidR="00B51613" w:rsidRPr="00320162">
        <w:rPr>
          <w:rFonts w:cs="Times New Roman"/>
          <w:lang w:val="en-GB"/>
        </w:rPr>
        <w:t xml:space="preserve">erverse incentives in the design </w:t>
      </w:r>
      <w:r w:rsidR="00AD0110">
        <w:rPr>
          <w:rFonts w:cs="Times New Roman"/>
          <w:lang w:val="en-GB"/>
        </w:rPr>
        <w:t xml:space="preserve">of </w:t>
      </w:r>
      <w:r w:rsidR="00DE114B">
        <w:rPr>
          <w:rFonts w:cs="Times New Roman"/>
          <w:lang w:val="en-GB"/>
        </w:rPr>
        <w:t xml:space="preserve">the EU’s ‘flagship’ climate change policy, </w:t>
      </w:r>
      <w:r w:rsidR="00DE114B" w:rsidRPr="0058120F">
        <w:rPr>
          <w:rFonts w:cs="Times New Roman"/>
          <w:b/>
          <w:lang w:val="en-GB"/>
        </w:rPr>
        <w:t>the Emissions Trading Scheme</w:t>
      </w:r>
      <w:r w:rsidR="009A1EF6" w:rsidRPr="0058120F">
        <w:rPr>
          <w:rFonts w:cs="Times New Roman"/>
          <w:b/>
          <w:lang w:val="en-GB"/>
        </w:rPr>
        <w:t xml:space="preserve"> (ETS)</w:t>
      </w:r>
      <w:r w:rsidR="00DE114B" w:rsidRPr="0058120F">
        <w:rPr>
          <w:rFonts w:cs="Times New Roman"/>
          <w:b/>
          <w:lang w:val="en-GB"/>
        </w:rPr>
        <w:t xml:space="preserve">, </w:t>
      </w:r>
      <w:r w:rsidR="00AD0110" w:rsidRPr="0058120F">
        <w:rPr>
          <w:rFonts w:cs="Times New Roman"/>
          <w:b/>
          <w:lang w:val="en-GB"/>
        </w:rPr>
        <w:t>ha</w:t>
      </w:r>
      <w:r w:rsidR="001201EE" w:rsidRPr="0058120F">
        <w:rPr>
          <w:rFonts w:cs="Times New Roman"/>
          <w:b/>
          <w:lang w:val="en-GB"/>
        </w:rPr>
        <w:t>ve</w:t>
      </w:r>
      <w:r w:rsidR="00025E95" w:rsidRPr="0058120F">
        <w:rPr>
          <w:rFonts w:cs="Times New Roman"/>
          <w:b/>
          <w:lang w:val="en-GB"/>
        </w:rPr>
        <w:t xml:space="preserve"> increase</w:t>
      </w:r>
      <w:r w:rsidR="00DE114B" w:rsidRPr="0058120F">
        <w:rPr>
          <w:rFonts w:cs="Times New Roman"/>
          <w:b/>
          <w:lang w:val="en-GB"/>
        </w:rPr>
        <w:t>d</w:t>
      </w:r>
      <w:r w:rsidR="00025E95" w:rsidRPr="0058120F">
        <w:rPr>
          <w:rFonts w:cs="Times New Roman"/>
          <w:b/>
          <w:lang w:val="en-GB"/>
        </w:rPr>
        <w:t xml:space="preserve"> cement sector </w:t>
      </w:r>
      <w:r w:rsidR="00BA6F24" w:rsidRPr="0058120F">
        <w:rPr>
          <w:rFonts w:cs="Times New Roman"/>
          <w:b/>
          <w:lang w:val="en-GB"/>
        </w:rPr>
        <w:t>emissions</w:t>
      </w:r>
      <w:r w:rsidR="00DE114B" w:rsidRPr="0058120F">
        <w:rPr>
          <w:rFonts w:cs="Times New Roman"/>
          <w:b/>
          <w:lang w:val="en-GB"/>
        </w:rPr>
        <w:t xml:space="preserve"> </w:t>
      </w:r>
      <w:r w:rsidR="0008187A" w:rsidRPr="0058120F">
        <w:rPr>
          <w:rFonts w:cs="Times New Roman"/>
          <w:b/>
          <w:lang w:val="en-GB"/>
        </w:rPr>
        <w:t xml:space="preserve">by </w:t>
      </w:r>
      <w:r w:rsidR="0045189E" w:rsidRPr="0058120F">
        <w:rPr>
          <w:rFonts w:cs="Times New Roman"/>
          <w:b/>
          <w:lang w:val="en-GB"/>
        </w:rPr>
        <w:t>more than</w:t>
      </w:r>
      <w:r w:rsidR="0008187A" w:rsidRPr="0058120F">
        <w:rPr>
          <w:rFonts w:cs="Times New Roman"/>
          <w:b/>
          <w:lang w:val="en-GB"/>
        </w:rPr>
        <w:t xml:space="preserve"> 15 milli</w:t>
      </w:r>
      <w:r w:rsidR="0008187A">
        <w:rPr>
          <w:rFonts w:cs="Times New Roman"/>
          <w:b/>
          <w:lang w:val="en-GB"/>
        </w:rPr>
        <w:t>on tonnes of CO</w:t>
      </w:r>
      <w:r w:rsidR="0008187A" w:rsidRPr="009A1EF6">
        <w:rPr>
          <w:rFonts w:cs="Times New Roman"/>
          <w:b/>
          <w:vertAlign w:val="subscript"/>
          <w:lang w:val="en-GB"/>
        </w:rPr>
        <w:t>2</w:t>
      </w:r>
      <w:r w:rsidR="0058120F">
        <w:rPr>
          <w:rFonts w:cs="Times New Roman"/>
          <w:b/>
          <w:lang w:val="en-GB"/>
        </w:rPr>
        <w:t>: if the cement sector had been outside the ETS, its emissions would be lower.</w:t>
      </w:r>
      <w:r w:rsidR="00B51613" w:rsidRPr="00025E95">
        <w:rPr>
          <w:rFonts w:cs="Times New Roman"/>
          <w:b/>
          <w:lang w:val="en-GB"/>
        </w:rPr>
        <w:t xml:space="preserve">  </w:t>
      </w:r>
      <w:r w:rsidR="00DE114B">
        <w:rPr>
          <w:rFonts w:cs="Times New Roman"/>
          <w:lang w:val="en-GB"/>
        </w:rPr>
        <w:t>While the surplus in emissions allowances that have accrued to most industrial sectors are now declining</w:t>
      </w:r>
      <w:r w:rsidR="00E15ED9">
        <w:rPr>
          <w:rFonts w:cs="Times New Roman"/>
          <w:lang w:val="en-GB"/>
        </w:rPr>
        <w:t>,</w:t>
      </w:r>
      <w:r w:rsidR="00DE114B">
        <w:rPr>
          <w:rFonts w:cs="Times New Roman"/>
          <w:lang w:val="en-GB"/>
        </w:rPr>
        <w:t xml:space="preserve"> </w:t>
      </w:r>
      <w:r w:rsidR="00C86727">
        <w:rPr>
          <w:rFonts w:cs="Times New Roman"/>
          <w:lang w:val="en-GB"/>
        </w:rPr>
        <w:t>in the</w:t>
      </w:r>
      <w:r w:rsidR="00DE114B">
        <w:rPr>
          <w:rFonts w:cs="Times New Roman"/>
          <w:lang w:val="en-GB"/>
        </w:rPr>
        <w:t xml:space="preserve"> cement sector</w:t>
      </w:r>
      <w:r w:rsidR="00C86727">
        <w:rPr>
          <w:rFonts w:cs="Times New Roman"/>
          <w:lang w:val="en-GB"/>
        </w:rPr>
        <w:t xml:space="preserve"> the surpluses continue to grow</w:t>
      </w:r>
      <w:r w:rsidR="00DE114B">
        <w:rPr>
          <w:rFonts w:cs="Times New Roman"/>
          <w:lang w:val="en-GB"/>
        </w:rPr>
        <w:t xml:space="preserve">. </w:t>
      </w:r>
    </w:p>
    <w:p w14:paraId="59791A24" w14:textId="62260825" w:rsidR="002263EF" w:rsidRDefault="0058120F" w:rsidP="00443FCC">
      <w:pPr>
        <w:pStyle w:val="NoSpacing"/>
        <w:rPr>
          <w:rFonts w:cs="Times New Roman"/>
          <w:lang w:val="en-GB"/>
        </w:rPr>
      </w:pPr>
      <w:r>
        <w:rPr>
          <w:rFonts w:cs="Times New Roman"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1CF57B9" wp14:editId="333627D8">
            <wp:simplePos x="0" y="0"/>
            <wp:positionH relativeFrom="column">
              <wp:posOffset>3600450</wp:posOffset>
            </wp:positionH>
            <wp:positionV relativeFrom="paragraph">
              <wp:posOffset>165735</wp:posOffset>
            </wp:positionV>
            <wp:extent cx="2858135" cy="3465830"/>
            <wp:effectExtent l="0" t="0" r="0" b="1270"/>
            <wp:wrapTight wrapText="bothSides">
              <wp:wrapPolygon edited="0">
                <wp:start x="0" y="0"/>
                <wp:lineTo x="0" y="21489"/>
                <wp:lineTo x="21451" y="21489"/>
                <wp:lineTo x="2145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t_cat_cement_v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135" cy="346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5BE04C" w14:textId="7873B416" w:rsidR="00DE114B" w:rsidRDefault="00DE114B" w:rsidP="00443FCC">
      <w:pPr>
        <w:pStyle w:val="NoSpacing"/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Five </w:t>
      </w:r>
      <w:r w:rsidR="00CE0307" w:rsidRPr="00025E95">
        <w:rPr>
          <w:rFonts w:cs="Times New Roman"/>
          <w:lang w:val="en-GB"/>
        </w:rPr>
        <w:t>“</w:t>
      </w:r>
      <w:r>
        <w:rPr>
          <w:rFonts w:cs="Times New Roman"/>
          <w:lang w:val="en-GB"/>
        </w:rPr>
        <w:t xml:space="preserve">Carbon </w:t>
      </w:r>
      <w:r w:rsidR="00B51613" w:rsidRPr="00025E95">
        <w:rPr>
          <w:rFonts w:cs="Times New Roman"/>
          <w:lang w:val="en-GB"/>
        </w:rPr>
        <w:t>Fat Cat</w:t>
      </w:r>
      <w:r>
        <w:rPr>
          <w:rFonts w:cs="Times New Roman"/>
          <w:lang w:val="en-GB"/>
        </w:rPr>
        <w:t xml:space="preserve"> Companies</w:t>
      </w:r>
      <w:r w:rsidR="00CE0307" w:rsidRPr="00025E95">
        <w:rPr>
          <w:rFonts w:cs="Times New Roman"/>
          <w:lang w:val="en-GB"/>
        </w:rPr>
        <w:t>”</w:t>
      </w:r>
      <w:r>
        <w:rPr>
          <w:rFonts w:cs="Times New Roman"/>
          <w:lang w:val="en-GB"/>
        </w:rPr>
        <w:t xml:space="preserve"> </w:t>
      </w:r>
      <w:r w:rsidR="001201EE">
        <w:rPr>
          <w:rFonts w:cs="Times New Roman"/>
          <w:lang w:val="en-GB"/>
        </w:rPr>
        <w:t xml:space="preserve">from the cement sector </w:t>
      </w:r>
      <w:r w:rsidR="0008187A">
        <w:rPr>
          <w:rFonts w:cs="Times New Roman"/>
          <w:lang w:val="en-GB"/>
        </w:rPr>
        <w:t>have</w:t>
      </w:r>
      <w:r w:rsidR="002263EF">
        <w:rPr>
          <w:rFonts w:cs="Times New Roman"/>
          <w:lang w:val="en-GB"/>
        </w:rPr>
        <w:t xml:space="preserve"> collectively</w:t>
      </w:r>
      <w:r>
        <w:rPr>
          <w:rFonts w:cs="Times New Roman"/>
          <w:lang w:val="en-GB"/>
        </w:rPr>
        <w:t xml:space="preserve"> </w:t>
      </w:r>
      <w:r w:rsidR="0008187A">
        <w:rPr>
          <w:rFonts w:cs="Times New Roman"/>
          <w:lang w:val="en-GB"/>
        </w:rPr>
        <w:t xml:space="preserve">received nearly </w:t>
      </w:r>
      <w:r w:rsidR="00F63348">
        <w:rPr>
          <w:rFonts w:cs="Times New Roman"/>
          <w:lang w:val="en-GB"/>
        </w:rPr>
        <w:t>€</w:t>
      </w:r>
      <w:r w:rsidR="0008187A">
        <w:rPr>
          <w:rFonts w:cs="Times New Roman"/>
          <w:lang w:val="en-GB"/>
        </w:rPr>
        <w:t xml:space="preserve">1 billion worth of spare </w:t>
      </w:r>
      <w:r w:rsidR="009A1EF6">
        <w:rPr>
          <w:rFonts w:cs="Times New Roman"/>
          <w:lang w:val="en-GB"/>
        </w:rPr>
        <w:t xml:space="preserve">EU </w:t>
      </w:r>
      <w:r w:rsidR="0008187A">
        <w:rPr>
          <w:rFonts w:cs="Times New Roman"/>
          <w:lang w:val="en-GB"/>
        </w:rPr>
        <w:t xml:space="preserve">allowances </w:t>
      </w:r>
      <w:r w:rsidR="009A1EF6">
        <w:rPr>
          <w:rFonts w:cs="Times New Roman"/>
          <w:lang w:val="en-GB"/>
        </w:rPr>
        <w:t xml:space="preserve">(EUAs) </w:t>
      </w:r>
      <w:r w:rsidR="0008187A">
        <w:rPr>
          <w:rFonts w:cs="Times New Roman"/>
          <w:lang w:val="en-GB"/>
        </w:rPr>
        <w:t xml:space="preserve">for free </w:t>
      </w:r>
      <w:r>
        <w:rPr>
          <w:rFonts w:cs="Times New Roman"/>
          <w:lang w:val="en-GB"/>
        </w:rPr>
        <w:t>between</w:t>
      </w:r>
      <w:r w:rsidR="0008187A">
        <w:rPr>
          <w:rFonts w:cs="Times New Roman"/>
          <w:lang w:val="en-GB"/>
        </w:rPr>
        <w:t xml:space="preserve"> 2008 </w:t>
      </w:r>
      <w:r w:rsidR="002263EF">
        <w:rPr>
          <w:rFonts w:cs="Times New Roman"/>
          <w:lang w:val="en-GB"/>
        </w:rPr>
        <w:t>-</w:t>
      </w:r>
      <w:r w:rsidR="0008187A">
        <w:rPr>
          <w:rFonts w:cs="Times New Roman"/>
          <w:lang w:val="en-GB"/>
        </w:rPr>
        <w:t>2014</w:t>
      </w:r>
      <w:r w:rsidR="00B51613" w:rsidRPr="00025E95">
        <w:rPr>
          <w:rFonts w:cs="Times New Roman"/>
          <w:lang w:val="en-GB"/>
        </w:rPr>
        <w:t xml:space="preserve">. </w:t>
      </w:r>
      <w:r w:rsidR="00E15ED9">
        <w:rPr>
          <w:rFonts w:cs="Times New Roman"/>
          <w:lang w:val="en-GB"/>
        </w:rPr>
        <w:t xml:space="preserve"> As the number of free allowances </w:t>
      </w:r>
      <w:r w:rsidR="001201EE">
        <w:rPr>
          <w:rFonts w:cs="Times New Roman"/>
          <w:lang w:val="en-GB"/>
        </w:rPr>
        <w:t xml:space="preserve">available </w:t>
      </w:r>
      <w:r w:rsidR="00E15ED9">
        <w:rPr>
          <w:rFonts w:cs="Times New Roman"/>
          <w:lang w:val="en-GB"/>
        </w:rPr>
        <w:t xml:space="preserve">to </w:t>
      </w:r>
      <w:r w:rsidR="001201EE">
        <w:rPr>
          <w:rFonts w:cs="Times New Roman"/>
          <w:lang w:val="en-GB"/>
        </w:rPr>
        <w:t xml:space="preserve">all </w:t>
      </w:r>
      <w:r w:rsidR="00E15ED9">
        <w:rPr>
          <w:rFonts w:cs="Times New Roman"/>
          <w:lang w:val="en-GB"/>
        </w:rPr>
        <w:t>industry is fixed</w:t>
      </w:r>
      <w:r w:rsidR="001201EE">
        <w:rPr>
          <w:rFonts w:cs="Times New Roman"/>
          <w:lang w:val="en-GB"/>
        </w:rPr>
        <w:t>,</w:t>
      </w:r>
      <w:r w:rsidR="00E15ED9">
        <w:rPr>
          <w:rFonts w:cs="Times New Roman"/>
          <w:lang w:val="en-GB"/>
        </w:rPr>
        <w:t xml:space="preserve"> over-allocation to cement companies is reducing </w:t>
      </w:r>
      <w:r w:rsidR="001201EE">
        <w:rPr>
          <w:rFonts w:cs="Times New Roman"/>
          <w:lang w:val="en-GB"/>
        </w:rPr>
        <w:t xml:space="preserve">the volume that can be allocated to other </w:t>
      </w:r>
      <w:r w:rsidR="00E15ED9">
        <w:rPr>
          <w:rFonts w:cs="Times New Roman"/>
          <w:lang w:val="en-GB"/>
        </w:rPr>
        <w:t xml:space="preserve">sectors that may need </w:t>
      </w:r>
      <w:r w:rsidR="009A1EF6">
        <w:rPr>
          <w:rFonts w:cs="Times New Roman"/>
          <w:lang w:val="en-GB"/>
        </w:rPr>
        <w:t xml:space="preserve">more </w:t>
      </w:r>
      <w:r w:rsidR="00E15ED9">
        <w:rPr>
          <w:rFonts w:cs="Times New Roman"/>
          <w:lang w:val="en-GB"/>
        </w:rPr>
        <w:t xml:space="preserve">protection. </w:t>
      </w:r>
      <w:r w:rsidR="00B51613" w:rsidRPr="00025E95">
        <w:rPr>
          <w:rFonts w:cs="Times New Roman"/>
          <w:lang w:val="en-GB"/>
        </w:rPr>
        <w:t xml:space="preserve"> </w:t>
      </w:r>
    </w:p>
    <w:p w14:paraId="06FB39BE" w14:textId="77777777" w:rsidR="00DE114B" w:rsidRDefault="00DE114B" w:rsidP="00443FCC">
      <w:pPr>
        <w:pStyle w:val="NoSpacing"/>
        <w:rPr>
          <w:rFonts w:cs="Times New Roman"/>
          <w:lang w:val="en-GB"/>
        </w:rPr>
      </w:pPr>
    </w:p>
    <w:p w14:paraId="16CF9557" w14:textId="711E96CD" w:rsidR="0058120F" w:rsidRDefault="004420BC" w:rsidP="00443FCC">
      <w:pPr>
        <w:pStyle w:val="NoSpacing"/>
        <w:rPr>
          <w:rFonts w:cs="Times New Roman"/>
          <w:lang w:val="en-GB"/>
        </w:rPr>
      </w:pPr>
      <w:r w:rsidRPr="00025E95">
        <w:rPr>
          <w:rFonts w:cs="Times New Roman"/>
          <w:lang w:val="en-GB"/>
        </w:rPr>
        <w:t xml:space="preserve">These facts highlight the urgent need to reform the </w:t>
      </w:r>
      <w:r w:rsidR="00DE114B">
        <w:rPr>
          <w:rFonts w:cs="Times New Roman"/>
          <w:lang w:val="en-GB"/>
        </w:rPr>
        <w:t>rules governing the ETS</w:t>
      </w:r>
      <w:r w:rsidR="0058120F">
        <w:rPr>
          <w:rFonts w:cs="Times New Roman"/>
          <w:lang w:val="en-GB"/>
        </w:rPr>
        <w:t xml:space="preserve"> in </w:t>
      </w:r>
      <w:r w:rsidR="00DE114B">
        <w:rPr>
          <w:rFonts w:cs="Times New Roman"/>
          <w:lang w:val="en-GB"/>
        </w:rPr>
        <w:t xml:space="preserve">the </w:t>
      </w:r>
      <w:r w:rsidR="0058120F">
        <w:rPr>
          <w:rFonts w:cs="Times New Roman"/>
          <w:lang w:val="en-GB"/>
        </w:rPr>
        <w:t xml:space="preserve">ongoing reform </w:t>
      </w:r>
      <w:r w:rsidR="00DE114B">
        <w:rPr>
          <w:rFonts w:cs="Times New Roman"/>
          <w:lang w:val="en-GB"/>
        </w:rPr>
        <w:t>of the Directive</w:t>
      </w:r>
      <w:r w:rsidR="0058120F">
        <w:rPr>
          <w:rFonts w:cs="Times New Roman"/>
          <w:lang w:val="en-GB"/>
        </w:rPr>
        <w:t>.</w:t>
      </w:r>
      <w:r w:rsidR="00DE114B">
        <w:rPr>
          <w:rFonts w:cs="Times New Roman"/>
          <w:lang w:val="en-GB"/>
        </w:rPr>
        <w:t xml:space="preserve"> </w:t>
      </w:r>
      <w:r w:rsidR="0058120F">
        <w:rPr>
          <w:rFonts w:cs="Times New Roman"/>
          <w:lang w:val="en-GB"/>
        </w:rPr>
        <w:t>A low emissions cement sector is possible, but to incentivise it requires</w:t>
      </w:r>
      <w:r w:rsidR="00E44227">
        <w:rPr>
          <w:rFonts w:cs="Times New Roman"/>
          <w:lang w:val="en-GB"/>
        </w:rPr>
        <w:t xml:space="preserve"> that we</w:t>
      </w:r>
      <w:r w:rsidR="0058120F">
        <w:rPr>
          <w:rFonts w:cs="Times New Roman"/>
          <w:lang w:val="en-GB"/>
        </w:rPr>
        <w:t>:</w:t>
      </w:r>
    </w:p>
    <w:p w14:paraId="2EA3E759" w14:textId="09D0B67E" w:rsidR="00BB4EDD" w:rsidRPr="00BB4EDD" w:rsidRDefault="00E44227" w:rsidP="00BB4EDD">
      <w:pPr>
        <w:pStyle w:val="NoSpacing"/>
        <w:numPr>
          <w:ilvl w:val="0"/>
          <w:numId w:val="9"/>
        </w:numPr>
        <w:rPr>
          <w:rFonts w:cs="Times New Roman"/>
          <w:b/>
          <w:lang w:val="en-GB"/>
        </w:rPr>
      </w:pPr>
      <w:r>
        <w:rPr>
          <w:rFonts w:cs="Times New Roman"/>
          <w:lang w:val="en-GB"/>
        </w:rPr>
        <w:t xml:space="preserve">Secure a </w:t>
      </w:r>
      <w:r w:rsidR="0058120F">
        <w:rPr>
          <w:rFonts w:cs="Times New Roman"/>
          <w:lang w:val="en-GB"/>
        </w:rPr>
        <w:t xml:space="preserve">higher carbon price </w:t>
      </w:r>
    </w:p>
    <w:p w14:paraId="3A206F97" w14:textId="26F5B50D" w:rsidR="00BB4EDD" w:rsidRPr="00BB4EDD" w:rsidRDefault="0058120F" w:rsidP="00BB4EDD">
      <w:pPr>
        <w:pStyle w:val="NoSpacing"/>
        <w:numPr>
          <w:ilvl w:val="0"/>
          <w:numId w:val="9"/>
        </w:numPr>
        <w:rPr>
          <w:rFonts w:cs="Times New Roman"/>
          <w:b/>
          <w:lang w:val="en-GB"/>
        </w:rPr>
      </w:pPr>
      <w:r>
        <w:rPr>
          <w:rFonts w:cs="Times New Roman"/>
          <w:lang w:val="en-GB"/>
        </w:rPr>
        <w:t>End the over-allocation of</w:t>
      </w:r>
      <w:r w:rsidR="00BB4EDD">
        <w:rPr>
          <w:rFonts w:cs="Times New Roman"/>
          <w:lang w:val="en-GB"/>
        </w:rPr>
        <w:t xml:space="preserve"> allowances</w:t>
      </w:r>
    </w:p>
    <w:p w14:paraId="2F6D48E3" w14:textId="256E7780" w:rsidR="00B51613" w:rsidRPr="00A15A95" w:rsidRDefault="00E44227" w:rsidP="00BB4EDD">
      <w:pPr>
        <w:pStyle w:val="NoSpacing"/>
        <w:numPr>
          <w:ilvl w:val="0"/>
          <w:numId w:val="9"/>
        </w:numPr>
        <w:rPr>
          <w:rFonts w:cs="Times New Roman"/>
          <w:b/>
          <w:lang w:val="en-GB"/>
        </w:rPr>
      </w:pPr>
      <w:r>
        <w:rPr>
          <w:rFonts w:cs="Times New Roman"/>
          <w:lang w:val="en-GB"/>
        </w:rPr>
        <w:t xml:space="preserve">Provide </w:t>
      </w:r>
      <w:r w:rsidR="00BB4EDD">
        <w:rPr>
          <w:rFonts w:cs="Times New Roman"/>
          <w:lang w:val="en-GB"/>
        </w:rPr>
        <w:t>new</w:t>
      </w:r>
      <w:r w:rsidR="0058120F">
        <w:rPr>
          <w:rFonts w:cs="Times New Roman"/>
          <w:lang w:val="en-GB"/>
        </w:rPr>
        <w:t xml:space="preserve"> support for innovat</w:t>
      </w:r>
      <w:r w:rsidR="00BB4EDD">
        <w:rPr>
          <w:rFonts w:cs="Times New Roman"/>
          <w:lang w:val="en-GB"/>
        </w:rPr>
        <w:t>ive</w:t>
      </w:r>
      <w:r w:rsidR="0058120F">
        <w:rPr>
          <w:rFonts w:cs="Times New Roman"/>
          <w:lang w:val="en-GB"/>
        </w:rPr>
        <w:t xml:space="preserve"> processes </w:t>
      </w:r>
      <w:r w:rsidR="00BB4EDD">
        <w:rPr>
          <w:rFonts w:cs="Times New Roman"/>
          <w:lang w:val="en-GB"/>
        </w:rPr>
        <w:t>and Carbon Capture Utilisation &amp; Storage</w:t>
      </w:r>
    </w:p>
    <w:p w14:paraId="0263F48A" w14:textId="3DC12CD3" w:rsidR="005C3FFA" w:rsidRPr="00320162" w:rsidRDefault="00B51613" w:rsidP="00443FCC">
      <w:pPr>
        <w:pStyle w:val="NoSpacing"/>
        <w:rPr>
          <w:rFonts w:cs="Times New Roman"/>
          <w:lang w:val="en-GB"/>
        </w:rPr>
      </w:pPr>
      <w:r w:rsidRPr="00320162">
        <w:rPr>
          <w:rFonts w:cs="Times New Roman"/>
          <w:lang w:val="en-GB"/>
        </w:rPr>
        <w:t xml:space="preserve">  </w:t>
      </w:r>
      <w:r w:rsidRPr="00320162">
        <w:rPr>
          <w:rFonts w:cs="Times New Roman"/>
          <w:b/>
          <w:lang w:val="en-GB"/>
        </w:rPr>
        <w:t xml:space="preserve"> </w:t>
      </w:r>
    </w:p>
    <w:p w14:paraId="0CFC6671" w14:textId="77777777" w:rsidR="00823EEC" w:rsidRPr="00320162" w:rsidRDefault="00823EEC" w:rsidP="00443FCC">
      <w:pPr>
        <w:pStyle w:val="NoSpacing"/>
        <w:rPr>
          <w:rFonts w:cs="Times New Roman"/>
          <w:u w:val="single"/>
          <w:lang w:val="en-GB"/>
        </w:rPr>
      </w:pPr>
      <w:r w:rsidRPr="00320162">
        <w:rPr>
          <w:rFonts w:cs="Times New Roman"/>
          <w:u w:val="single"/>
          <w:lang w:val="en-GB"/>
        </w:rPr>
        <w:t>Key findings:</w:t>
      </w:r>
    </w:p>
    <w:p w14:paraId="49F2B34C" w14:textId="77777777" w:rsidR="00443FCC" w:rsidRPr="00320162" w:rsidRDefault="00443FCC" w:rsidP="00443FCC">
      <w:pPr>
        <w:pStyle w:val="NoSpacing"/>
        <w:rPr>
          <w:rFonts w:cs="Times New Roman"/>
          <w:lang w:val="en-GB"/>
        </w:rPr>
      </w:pPr>
    </w:p>
    <w:p w14:paraId="178FAF0D" w14:textId="366C360D" w:rsidR="00A92789" w:rsidRDefault="00522E58" w:rsidP="009326CD">
      <w:pPr>
        <w:pStyle w:val="NoSpacing"/>
        <w:rPr>
          <w:rFonts w:cs="Times New Roman"/>
          <w:b/>
          <w:lang w:val="en-GB"/>
        </w:rPr>
      </w:pPr>
      <w:r>
        <w:rPr>
          <w:rFonts w:cs="Times New Roman"/>
          <w:b/>
          <w:lang w:val="en-GB"/>
        </w:rPr>
        <w:t xml:space="preserve">Free allocation of </w:t>
      </w:r>
      <w:r w:rsidR="004A1E49">
        <w:rPr>
          <w:rFonts w:cs="Times New Roman"/>
          <w:b/>
          <w:lang w:val="en-GB"/>
        </w:rPr>
        <w:t xml:space="preserve">ETS </w:t>
      </w:r>
      <w:r>
        <w:rPr>
          <w:rFonts w:cs="Times New Roman"/>
          <w:b/>
          <w:lang w:val="en-GB"/>
        </w:rPr>
        <w:t>allowances exists to protect against potential ‘carbon leakage’.</w:t>
      </w:r>
      <w:r w:rsidR="004A1E49">
        <w:rPr>
          <w:rStyle w:val="FootnoteReference"/>
          <w:rFonts w:cs="Times New Roman"/>
          <w:b/>
          <w:lang w:val="en-GB"/>
        </w:rPr>
        <w:footnoteReference w:id="1"/>
      </w:r>
      <w:r>
        <w:rPr>
          <w:rFonts w:cs="Times New Roman"/>
          <w:b/>
          <w:lang w:val="en-GB"/>
        </w:rPr>
        <w:t xml:space="preserve"> However, the rules are creating perverse effects</w:t>
      </w:r>
      <w:r w:rsidR="001201EE">
        <w:rPr>
          <w:rFonts w:cs="Times New Roman"/>
          <w:b/>
          <w:lang w:val="en-GB"/>
        </w:rPr>
        <w:t>.</w:t>
      </w:r>
      <w:r w:rsidR="00DA688A" w:rsidRPr="00320162">
        <w:rPr>
          <w:rFonts w:cs="Times New Roman"/>
          <w:b/>
          <w:lang w:val="en-GB"/>
        </w:rPr>
        <w:t xml:space="preserve"> </w:t>
      </w:r>
      <w:r w:rsidR="004A1E49">
        <w:rPr>
          <w:rFonts w:cs="Times New Roman"/>
          <w:b/>
          <w:lang w:val="en-GB"/>
        </w:rPr>
        <w:t>T</w:t>
      </w:r>
      <w:r w:rsidR="009F7243" w:rsidRPr="00320162">
        <w:rPr>
          <w:rFonts w:cs="Times New Roman"/>
          <w:b/>
          <w:lang w:val="en-GB"/>
        </w:rPr>
        <w:t xml:space="preserve">he ETS </w:t>
      </w:r>
      <w:r w:rsidR="00A92789">
        <w:rPr>
          <w:rFonts w:cs="Times New Roman"/>
          <w:b/>
          <w:lang w:val="en-GB"/>
        </w:rPr>
        <w:t xml:space="preserve">from 2008-2014 </w:t>
      </w:r>
      <w:r w:rsidR="009F7243" w:rsidRPr="00320162">
        <w:rPr>
          <w:rFonts w:cs="Times New Roman"/>
          <w:b/>
          <w:lang w:val="en-GB"/>
        </w:rPr>
        <w:t xml:space="preserve">has </w:t>
      </w:r>
      <w:r w:rsidR="00025E95">
        <w:rPr>
          <w:rFonts w:cs="Times New Roman"/>
          <w:b/>
          <w:lang w:val="en-GB"/>
        </w:rPr>
        <w:t xml:space="preserve">inflated </w:t>
      </w:r>
      <w:r w:rsidR="009F7243" w:rsidRPr="00025E95">
        <w:rPr>
          <w:rFonts w:cs="Times New Roman"/>
          <w:b/>
          <w:lang w:val="en-GB"/>
        </w:rPr>
        <w:t xml:space="preserve">cement </w:t>
      </w:r>
      <w:r w:rsidR="00A87B3C" w:rsidRPr="00025E95">
        <w:rPr>
          <w:rFonts w:cs="Times New Roman"/>
          <w:b/>
          <w:lang w:val="en-GB"/>
        </w:rPr>
        <w:t xml:space="preserve">sector </w:t>
      </w:r>
      <w:r w:rsidR="009F7243" w:rsidRPr="00025E95">
        <w:rPr>
          <w:rFonts w:cs="Times New Roman"/>
          <w:b/>
          <w:lang w:val="en-GB"/>
        </w:rPr>
        <w:t>emissions</w:t>
      </w:r>
      <w:r>
        <w:rPr>
          <w:rFonts w:cs="Times New Roman"/>
          <w:b/>
          <w:lang w:val="en-GB"/>
        </w:rPr>
        <w:t xml:space="preserve"> </w:t>
      </w:r>
      <w:r w:rsidR="00A92789">
        <w:rPr>
          <w:rFonts w:cs="Times New Roman"/>
          <w:b/>
          <w:lang w:val="en-GB"/>
        </w:rPr>
        <w:t>through</w:t>
      </w:r>
      <w:r>
        <w:rPr>
          <w:rFonts w:cs="Times New Roman"/>
          <w:b/>
          <w:lang w:val="en-GB"/>
        </w:rPr>
        <w:t xml:space="preserve"> </w:t>
      </w:r>
      <w:r w:rsidR="002263EF">
        <w:rPr>
          <w:rFonts w:cs="Times New Roman"/>
          <w:b/>
          <w:lang w:val="en-GB"/>
        </w:rPr>
        <w:t xml:space="preserve">the </w:t>
      </w:r>
      <w:r w:rsidR="00A92789">
        <w:rPr>
          <w:rFonts w:cs="Times New Roman"/>
          <w:b/>
          <w:lang w:val="en-GB"/>
        </w:rPr>
        <w:t>import</w:t>
      </w:r>
      <w:r w:rsidR="002263EF">
        <w:rPr>
          <w:rFonts w:cs="Times New Roman"/>
          <w:b/>
          <w:lang w:val="en-GB"/>
        </w:rPr>
        <w:t xml:space="preserve"> of</w:t>
      </w:r>
      <w:r w:rsidR="00A92789">
        <w:rPr>
          <w:rFonts w:cs="Times New Roman"/>
          <w:b/>
          <w:lang w:val="en-GB"/>
        </w:rPr>
        <w:t xml:space="preserve"> emissions </w:t>
      </w:r>
      <w:r>
        <w:rPr>
          <w:rFonts w:cs="Times New Roman"/>
          <w:b/>
          <w:lang w:val="en-GB"/>
        </w:rPr>
        <w:t>from other countries</w:t>
      </w:r>
      <w:r w:rsidR="009F7243" w:rsidRPr="00025E95">
        <w:rPr>
          <w:rFonts w:cs="Times New Roman"/>
          <w:b/>
          <w:lang w:val="en-GB"/>
        </w:rPr>
        <w:t xml:space="preserve">.  </w:t>
      </w:r>
      <w:r w:rsidR="00A92789">
        <w:rPr>
          <w:rFonts w:cs="Times New Roman"/>
          <w:b/>
          <w:lang w:val="en-GB"/>
        </w:rPr>
        <w:br/>
      </w:r>
    </w:p>
    <w:p w14:paraId="61E7D31D" w14:textId="5D78A6BD" w:rsidR="009A1EF6" w:rsidRDefault="00B05049" w:rsidP="009326CD">
      <w:pPr>
        <w:pStyle w:val="NoSpacing"/>
        <w:rPr>
          <w:rFonts w:cs="Times New Roman"/>
          <w:lang w:val="en-GB"/>
        </w:rPr>
      </w:pPr>
      <w:r w:rsidRPr="00A91114">
        <w:rPr>
          <w:rFonts w:cs="Times New Roman"/>
          <w:lang w:val="en-GB"/>
        </w:rPr>
        <w:t xml:space="preserve">Under </w:t>
      </w:r>
      <w:r w:rsidRPr="00320162">
        <w:rPr>
          <w:rFonts w:cs="Times New Roman"/>
          <w:lang w:val="en-GB"/>
        </w:rPr>
        <w:t xml:space="preserve">the </w:t>
      </w:r>
      <w:r w:rsidRPr="00A91114">
        <w:rPr>
          <w:rFonts w:cs="Times New Roman"/>
          <w:lang w:val="en-GB"/>
        </w:rPr>
        <w:t>current rules</w:t>
      </w:r>
      <w:r w:rsidRPr="00320162">
        <w:rPr>
          <w:rFonts w:cs="Times New Roman"/>
          <w:b/>
          <w:lang w:val="en-GB"/>
        </w:rPr>
        <w:t xml:space="preserve"> </w:t>
      </w:r>
      <w:r w:rsidR="00166109" w:rsidRPr="00025E95">
        <w:rPr>
          <w:rFonts w:cs="Times New Roman"/>
          <w:lang w:val="en-GB"/>
        </w:rPr>
        <w:t xml:space="preserve">producers </w:t>
      </w:r>
      <w:r w:rsidR="00A15A95">
        <w:rPr>
          <w:rFonts w:cs="Times New Roman"/>
          <w:lang w:val="en-GB"/>
        </w:rPr>
        <w:t xml:space="preserve">lose </w:t>
      </w:r>
      <w:r w:rsidR="00BB2000">
        <w:rPr>
          <w:rFonts w:cs="Times New Roman"/>
          <w:lang w:val="en-GB"/>
        </w:rPr>
        <w:t>5</w:t>
      </w:r>
      <w:r w:rsidR="00166109" w:rsidRPr="00025E95">
        <w:rPr>
          <w:rFonts w:cs="Times New Roman"/>
          <w:lang w:val="en-GB"/>
        </w:rPr>
        <w:t xml:space="preserve">0% of their free </w:t>
      </w:r>
      <w:r w:rsidR="0011357B" w:rsidRPr="00025E95">
        <w:rPr>
          <w:rFonts w:cs="Times New Roman"/>
          <w:lang w:val="en-GB"/>
        </w:rPr>
        <w:t xml:space="preserve">carbon </w:t>
      </w:r>
      <w:r w:rsidR="00166109" w:rsidRPr="00025E95">
        <w:rPr>
          <w:rFonts w:cs="Times New Roman"/>
          <w:lang w:val="en-GB"/>
        </w:rPr>
        <w:t>allocation</w:t>
      </w:r>
      <w:r w:rsidR="00BB2000">
        <w:rPr>
          <w:rFonts w:cs="Times New Roman"/>
          <w:lang w:val="en-GB"/>
        </w:rPr>
        <w:t xml:space="preserve"> if </w:t>
      </w:r>
      <w:r w:rsidR="00166109" w:rsidRPr="00025E95">
        <w:rPr>
          <w:rFonts w:cs="Times New Roman"/>
          <w:lang w:val="en-GB"/>
        </w:rPr>
        <w:t xml:space="preserve">they produce </w:t>
      </w:r>
      <w:r w:rsidR="00A15A95">
        <w:rPr>
          <w:rFonts w:cs="Times New Roman"/>
          <w:lang w:val="en-GB"/>
        </w:rPr>
        <w:t xml:space="preserve">less than </w:t>
      </w:r>
      <w:r w:rsidR="00166109" w:rsidRPr="00025E95">
        <w:rPr>
          <w:rFonts w:cs="Times New Roman"/>
          <w:lang w:val="en-GB"/>
        </w:rPr>
        <w:t xml:space="preserve">50% of </w:t>
      </w:r>
      <w:r w:rsidR="00A15A95">
        <w:rPr>
          <w:rFonts w:cs="Times New Roman"/>
          <w:lang w:val="en-GB"/>
        </w:rPr>
        <w:t xml:space="preserve">their </w:t>
      </w:r>
      <w:r w:rsidR="00166109" w:rsidRPr="00025E95">
        <w:rPr>
          <w:rFonts w:cs="Times New Roman"/>
          <w:lang w:val="en-GB"/>
        </w:rPr>
        <w:t xml:space="preserve">historic </w:t>
      </w:r>
      <w:r w:rsidR="00A15A95">
        <w:rPr>
          <w:rFonts w:cs="Times New Roman"/>
          <w:lang w:val="en-GB"/>
        </w:rPr>
        <w:t>activity levels</w:t>
      </w:r>
      <w:r w:rsidR="00256D24" w:rsidRPr="00025E95">
        <w:rPr>
          <w:rFonts w:cs="Times New Roman"/>
          <w:lang w:val="en-GB"/>
        </w:rPr>
        <w:t xml:space="preserve">. </w:t>
      </w:r>
      <w:r w:rsidR="009A1EF6">
        <w:rPr>
          <w:rFonts w:cs="Times New Roman"/>
          <w:lang w:val="en-GB"/>
        </w:rPr>
        <w:t xml:space="preserve">In the case of the cement sector these perverse </w:t>
      </w:r>
      <w:r w:rsidR="00DC7E0D">
        <w:rPr>
          <w:rFonts w:cs="Times New Roman"/>
          <w:lang w:val="en-GB"/>
        </w:rPr>
        <w:t xml:space="preserve">incentives </w:t>
      </w:r>
      <w:r w:rsidR="009A1EF6">
        <w:rPr>
          <w:rFonts w:cs="Times New Roman"/>
          <w:lang w:val="en-GB"/>
        </w:rPr>
        <w:t xml:space="preserve">are linked to the production of clinker – </w:t>
      </w:r>
      <w:r w:rsidR="009A1EF6" w:rsidRPr="00A7519B">
        <w:rPr>
          <w:rFonts w:cs="Times New Roman"/>
          <w:lang w:val="en-GB"/>
        </w:rPr>
        <w:t xml:space="preserve">an intermediary material of the cement-making process with a very high </w:t>
      </w:r>
      <w:r w:rsidR="009A1EF6" w:rsidRPr="00A7519B">
        <w:rPr>
          <w:rFonts w:cs="Times New Roman"/>
          <w:lang w:val="en-GB"/>
        </w:rPr>
        <w:lastRenderedPageBreak/>
        <w:t>carbon intensity</w:t>
      </w:r>
      <w:r w:rsidR="00E44227">
        <w:rPr>
          <w:rFonts w:cs="Times New Roman"/>
          <w:lang w:val="en-GB"/>
        </w:rPr>
        <w:t xml:space="preserve">. Yearly </w:t>
      </w:r>
      <w:r w:rsidR="00DC7E0D">
        <w:rPr>
          <w:rFonts w:cs="Times New Roman"/>
          <w:lang w:val="en-GB"/>
        </w:rPr>
        <w:t>production level</w:t>
      </w:r>
      <w:r w:rsidR="00E44227">
        <w:rPr>
          <w:rFonts w:cs="Times New Roman"/>
          <w:lang w:val="en-GB"/>
        </w:rPr>
        <w:t>s</w:t>
      </w:r>
      <w:r w:rsidR="00DC7E0D">
        <w:rPr>
          <w:rFonts w:cs="Times New Roman"/>
          <w:lang w:val="en-GB"/>
        </w:rPr>
        <w:t xml:space="preserve"> </w:t>
      </w:r>
      <w:r w:rsidR="00E44227">
        <w:rPr>
          <w:rFonts w:cs="Times New Roman"/>
          <w:lang w:val="en-GB"/>
        </w:rPr>
        <w:t xml:space="preserve">of clinker </w:t>
      </w:r>
      <w:r w:rsidR="00DC7E0D">
        <w:rPr>
          <w:rFonts w:cs="Times New Roman"/>
          <w:lang w:val="en-GB"/>
        </w:rPr>
        <w:t>can affect the number of allowances an installation receive</w:t>
      </w:r>
      <w:r w:rsidR="00E44227">
        <w:rPr>
          <w:rFonts w:cs="Times New Roman"/>
          <w:lang w:val="en-GB"/>
        </w:rPr>
        <w:t>s</w:t>
      </w:r>
      <w:r w:rsidR="00DC7E0D">
        <w:rPr>
          <w:rFonts w:cs="Times New Roman"/>
          <w:lang w:val="en-GB"/>
        </w:rPr>
        <w:t xml:space="preserve"> for free.</w:t>
      </w:r>
    </w:p>
    <w:p w14:paraId="72389688" w14:textId="77777777" w:rsidR="009A1EF6" w:rsidRDefault="009A1EF6" w:rsidP="009326CD">
      <w:pPr>
        <w:pStyle w:val="NoSpacing"/>
        <w:rPr>
          <w:rFonts w:cs="Times New Roman"/>
          <w:lang w:val="en-GB"/>
        </w:rPr>
      </w:pPr>
    </w:p>
    <w:p w14:paraId="2439E37D" w14:textId="35D56CE5" w:rsidR="00166109" w:rsidRPr="00025E95" w:rsidRDefault="00256D24" w:rsidP="009326CD">
      <w:pPr>
        <w:pStyle w:val="NoSpacing"/>
        <w:rPr>
          <w:rFonts w:cs="Times New Roman"/>
          <w:lang w:val="en-GB"/>
        </w:rPr>
      </w:pPr>
      <w:r w:rsidRPr="00025E95">
        <w:rPr>
          <w:rFonts w:cs="Times New Roman"/>
          <w:lang w:val="en-GB"/>
        </w:rPr>
        <w:t>W</w:t>
      </w:r>
      <w:r w:rsidR="00166109" w:rsidRPr="00025E95">
        <w:rPr>
          <w:rFonts w:cs="Times New Roman"/>
          <w:lang w:val="en-GB"/>
        </w:rPr>
        <w:t xml:space="preserve">e show </w:t>
      </w:r>
      <w:r w:rsidR="00AD0110">
        <w:rPr>
          <w:rFonts w:cs="Times New Roman"/>
          <w:lang w:val="en-GB"/>
        </w:rPr>
        <w:t xml:space="preserve">through </w:t>
      </w:r>
      <w:r w:rsidR="00025E95" w:rsidRPr="00025E95">
        <w:rPr>
          <w:rFonts w:cs="Times New Roman"/>
          <w:lang w:val="en-GB"/>
        </w:rPr>
        <w:t>data</w:t>
      </w:r>
      <w:r w:rsidR="00025E95">
        <w:rPr>
          <w:rFonts w:cs="Times New Roman"/>
          <w:lang w:val="en-GB"/>
        </w:rPr>
        <w:t>-</w:t>
      </w:r>
      <w:r w:rsidR="00AD0110">
        <w:rPr>
          <w:rFonts w:cs="Times New Roman"/>
          <w:lang w:val="en-GB"/>
        </w:rPr>
        <w:t>driven</w:t>
      </w:r>
      <w:r w:rsidR="00AD0110" w:rsidRPr="00025E95">
        <w:rPr>
          <w:rFonts w:cs="Times New Roman"/>
          <w:lang w:val="en-GB"/>
        </w:rPr>
        <w:t xml:space="preserve"> </w:t>
      </w:r>
      <w:r w:rsidR="00AD0110">
        <w:rPr>
          <w:rFonts w:cs="Times New Roman"/>
          <w:lang w:val="en-GB"/>
        </w:rPr>
        <w:t>analysis</w:t>
      </w:r>
      <w:r w:rsidR="00AD0110" w:rsidRPr="00025E95">
        <w:rPr>
          <w:rFonts w:cs="Times New Roman"/>
          <w:lang w:val="en-GB"/>
        </w:rPr>
        <w:t xml:space="preserve"> </w:t>
      </w:r>
      <w:r w:rsidR="00166109" w:rsidRPr="00025E95">
        <w:rPr>
          <w:rFonts w:cs="Times New Roman"/>
          <w:lang w:val="en-GB"/>
        </w:rPr>
        <w:t xml:space="preserve">that </w:t>
      </w:r>
      <w:r w:rsidR="00A7519B">
        <w:rPr>
          <w:rFonts w:cs="Times New Roman"/>
          <w:lang w:val="en-GB"/>
        </w:rPr>
        <w:t xml:space="preserve">this has created perverse incentives for </w:t>
      </w:r>
      <w:r w:rsidR="00A15A95">
        <w:rPr>
          <w:rFonts w:cs="Times New Roman"/>
          <w:lang w:val="en-GB"/>
        </w:rPr>
        <w:t xml:space="preserve">installations </w:t>
      </w:r>
      <w:r w:rsidR="00A7519B">
        <w:rPr>
          <w:rFonts w:cs="Times New Roman"/>
          <w:lang w:val="en-GB"/>
        </w:rPr>
        <w:t>to over-produce</w:t>
      </w:r>
      <w:r w:rsidR="00BB2000">
        <w:rPr>
          <w:rFonts w:cs="Times New Roman"/>
          <w:lang w:val="en-GB"/>
        </w:rPr>
        <w:t xml:space="preserve"> </w:t>
      </w:r>
      <w:r w:rsidR="00E44227">
        <w:rPr>
          <w:rFonts w:cs="Times New Roman"/>
          <w:lang w:val="en-GB"/>
        </w:rPr>
        <w:t xml:space="preserve">in order to </w:t>
      </w:r>
      <w:r w:rsidR="00BB2000">
        <w:rPr>
          <w:rFonts w:cs="Times New Roman"/>
          <w:lang w:val="en-GB"/>
        </w:rPr>
        <w:t>avoid losing millions of euros worth of allowances</w:t>
      </w:r>
      <w:r w:rsidR="00166109" w:rsidRPr="00025E95">
        <w:rPr>
          <w:rFonts w:cs="Times New Roman"/>
          <w:lang w:val="en-GB"/>
        </w:rPr>
        <w:t xml:space="preserve">.  This creates </w:t>
      </w:r>
      <w:r w:rsidR="0011357B" w:rsidRPr="00025E95">
        <w:rPr>
          <w:rFonts w:cs="Times New Roman"/>
          <w:lang w:val="en-GB"/>
        </w:rPr>
        <w:t xml:space="preserve">three </w:t>
      </w:r>
      <w:r w:rsidR="00E44227" w:rsidRPr="00025E95">
        <w:rPr>
          <w:rFonts w:cs="Times New Roman"/>
          <w:lang w:val="en-GB"/>
        </w:rPr>
        <w:t>undesir</w:t>
      </w:r>
      <w:r w:rsidR="00E44227">
        <w:rPr>
          <w:rFonts w:cs="Times New Roman"/>
          <w:lang w:val="en-GB"/>
        </w:rPr>
        <w:t>able</w:t>
      </w:r>
      <w:r w:rsidR="00E44227" w:rsidRPr="00025E95">
        <w:rPr>
          <w:rFonts w:cs="Times New Roman"/>
          <w:lang w:val="en-GB"/>
        </w:rPr>
        <w:t xml:space="preserve"> </w:t>
      </w:r>
      <w:r w:rsidR="00166109" w:rsidRPr="00025E95">
        <w:rPr>
          <w:rFonts w:cs="Times New Roman"/>
          <w:lang w:val="en-GB"/>
        </w:rPr>
        <w:t>outcomes:</w:t>
      </w:r>
    </w:p>
    <w:p w14:paraId="4966569E" w14:textId="20DC555E" w:rsidR="005C3FFA" w:rsidRPr="00BB2000" w:rsidRDefault="00BD33C6" w:rsidP="009326CD">
      <w:pPr>
        <w:pStyle w:val="NoSpacing"/>
        <w:numPr>
          <w:ilvl w:val="0"/>
          <w:numId w:val="5"/>
        </w:numPr>
        <w:rPr>
          <w:rFonts w:cs="Times New Roman"/>
          <w:lang w:val="en-GB"/>
        </w:rPr>
      </w:pPr>
      <w:r w:rsidRPr="002263EF">
        <w:rPr>
          <w:rFonts w:cs="Times New Roman"/>
          <w:b/>
          <w:lang w:val="en-GB"/>
        </w:rPr>
        <w:t>T</w:t>
      </w:r>
      <w:r w:rsidR="009F7243" w:rsidRPr="002263EF">
        <w:rPr>
          <w:rFonts w:cs="Times New Roman"/>
          <w:b/>
          <w:lang w:val="en-GB"/>
        </w:rPr>
        <w:t xml:space="preserve">he </w:t>
      </w:r>
      <w:r w:rsidR="009F7243" w:rsidRPr="002263EF">
        <w:rPr>
          <w:rFonts w:cs="Times New Roman"/>
          <w:b/>
          <w:i/>
          <w:lang w:val="en-GB"/>
        </w:rPr>
        <w:t>lowest</w:t>
      </w:r>
      <w:r w:rsidR="009F7243" w:rsidRPr="002263EF">
        <w:rPr>
          <w:rFonts w:cs="Times New Roman"/>
          <w:b/>
          <w:lang w:val="en-GB"/>
        </w:rPr>
        <w:t xml:space="preserve"> efficiency producers are maintaining output higher than they otherwise would in order to </w:t>
      </w:r>
      <w:r w:rsidR="00AD0110" w:rsidRPr="002263EF">
        <w:rPr>
          <w:rFonts w:cs="Times New Roman"/>
          <w:b/>
          <w:lang w:val="en-GB"/>
        </w:rPr>
        <w:t xml:space="preserve">receive </w:t>
      </w:r>
      <w:r w:rsidR="009F7243" w:rsidRPr="002263EF">
        <w:rPr>
          <w:rFonts w:cs="Times New Roman"/>
          <w:b/>
          <w:lang w:val="en-GB"/>
        </w:rPr>
        <w:t>free allowances</w:t>
      </w:r>
      <w:r w:rsidR="00E44227">
        <w:rPr>
          <w:rFonts w:cs="Times New Roman"/>
          <w:lang w:val="en-GB"/>
        </w:rPr>
        <w:t>. This in turn</w:t>
      </w:r>
      <w:r w:rsidR="00E44227" w:rsidRPr="006329B6">
        <w:rPr>
          <w:rFonts w:cs="Times New Roman"/>
          <w:lang w:val="en-GB"/>
        </w:rPr>
        <w:t xml:space="preserve"> </w:t>
      </w:r>
      <w:r w:rsidR="00E44227">
        <w:rPr>
          <w:rFonts w:cs="Times New Roman"/>
          <w:lang w:val="en-GB"/>
        </w:rPr>
        <w:t xml:space="preserve">reduces </w:t>
      </w:r>
      <w:r w:rsidR="009F7243" w:rsidRPr="006329B6">
        <w:rPr>
          <w:rFonts w:cs="Times New Roman"/>
          <w:lang w:val="en-GB"/>
        </w:rPr>
        <w:t>the ru</w:t>
      </w:r>
      <w:r w:rsidR="009F7243" w:rsidRPr="00320162">
        <w:rPr>
          <w:rFonts w:cs="Times New Roman"/>
          <w:lang w:val="en-GB"/>
        </w:rPr>
        <w:t xml:space="preserve">nning </w:t>
      </w:r>
      <w:r w:rsidR="00E44227">
        <w:rPr>
          <w:rFonts w:cs="Times New Roman"/>
          <w:lang w:val="en-GB"/>
        </w:rPr>
        <w:t xml:space="preserve">time </w:t>
      </w:r>
      <w:r w:rsidR="009F7243" w:rsidRPr="00320162">
        <w:rPr>
          <w:rFonts w:cs="Times New Roman"/>
          <w:lang w:val="en-GB"/>
        </w:rPr>
        <w:t xml:space="preserve">of </w:t>
      </w:r>
      <w:r w:rsidR="009F7243" w:rsidRPr="00320162">
        <w:rPr>
          <w:rFonts w:cs="Times New Roman"/>
          <w:i/>
          <w:lang w:val="en-GB"/>
        </w:rPr>
        <w:t>higher</w:t>
      </w:r>
      <w:r w:rsidR="009F7243" w:rsidRPr="00320162">
        <w:rPr>
          <w:rFonts w:cs="Times New Roman"/>
          <w:lang w:val="en-GB"/>
        </w:rPr>
        <w:t xml:space="preserve"> efficiency producers, increasing overall CO</w:t>
      </w:r>
      <w:r w:rsidR="009F7243" w:rsidRPr="00A91114">
        <w:rPr>
          <w:rFonts w:cs="Times New Roman"/>
          <w:vertAlign w:val="subscript"/>
          <w:lang w:val="en-GB"/>
        </w:rPr>
        <w:t>2</w:t>
      </w:r>
      <w:r w:rsidR="009F7243" w:rsidRPr="00BB2000">
        <w:rPr>
          <w:rFonts w:cs="Times New Roman"/>
          <w:lang w:val="en-GB"/>
        </w:rPr>
        <w:t xml:space="preserve"> emissions</w:t>
      </w:r>
      <w:r w:rsidR="00166109" w:rsidRPr="00BB2000">
        <w:rPr>
          <w:rFonts w:cs="Times New Roman"/>
          <w:lang w:val="en-GB"/>
        </w:rPr>
        <w:t>.</w:t>
      </w:r>
      <w:r w:rsidR="009F7243" w:rsidRPr="00BB2000">
        <w:rPr>
          <w:rFonts w:cs="Times New Roman"/>
          <w:lang w:val="en-GB"/>
        </w:rPr>
        <w:t xml:space="preserve"> </w:t>
      </w:r>
      <w:r w:rsidR="009A1EF6">
        <w:rPr>
          <w:rFonts w:cs="Times New Roman"/>
          <w:lang w:val="en-GB"/>
        </w:rPr>
        <w:t xml:space="preserve">In 2013 </w:t>
      </w:r>
      <w:r w:rsidR="00166109" w:rsidRPr="00BB2000">
        <w:rPr>
          <w:rFonts w:cs="Times New Roman"/>
          <w:lang w:val="en-GB"/>
        </w:rPr>
        <w:t>low-efficiency kilns continue</w:t>
      </w:r>
      <w:r w:rsidR="0008187A">
        <w:rPr>
          <w:rFonts w:cs="Times New Roman"/>
          <w:lang w:val="en-GB"/>
        </w:rPr>
        <w:t>d</w:t>
      </w:r>
      <w:r w:rsidR="00166109" w:rsidRPr="00BB2000">
        <w:rPr>
          <w:rFonts w:cs="Times New Roman"/>
          <w:lang w:val="en-GB"/>
        </w:rPr>
        <w:t xml:space="preserve"> to </w:t>
      </w:r>
      <w:r w:rsidR="0008187A">
        <w:rPr>
          <w:rFonts w:cs="Times New Roman"/>
          <w:lang w:val="en-GB"/>
        </w:rPr>
        <w:t xml:space="preserve">produce 20 million tonnes of </w:t>
      </w:r>
      <w:r w:rsidR="0045189E">
        <w:rPr>
          <w:rFonts w:cs="Times New Roman"/>
          <w:lang w:val="en-GB"/>
        </w:rPr>
        <w:t>clinker</w:t>
      </w:r>
      <w:r w:rsidR="00E44227">
        <w:rPr>
          <w:rFonts w:cs="Times New Roman"/>
          <w:lang w:val="en-GB"/>
        </w:rPr>
        <w:t>, d</w:t>
      </w:r>
      <w:r w:rsidR="00166109" w:rsidRPr="00BB2000">
        <w:rPr>
          <w:rFonts w:cs="Times New Roman"/>
          <w:lang w:val="en-GB"/>
        </w:rPr>
        <w:t xml:space="preserve">espite </w:t>
      </w:r>
      <w:r w:rsidR="0045189E">
        <w:rPr>
          <w:rFonts w:cs="Times New Roman"/>
          <w:lang w:val="en-GB"/>
        </w:rPr>
        <w:t xml:space="preserve">nearly 50 million tonnes of </w:t>
      </w:r>
      <w:r w:rsidR="00166109" w:rsidRPr="00BB2000">
        <w:rPr>
          <w:rFonts w:cs="Times New Roman"/>
          <w:lang w:val="en-GB"/>
        </w:rPr>
        <w:t xml:space="preserve">unused capacity </w:t>
      </w:r>
      <w:r w:rsidR="0045189E">
        <w:rPr>
          <w:rFonts w:cs="Times New Roman"/>
          <w:lang w:val="en-GB"/>
        </w:rPr>
        <w:t xml:space="preserve">existing among </w:t>
      </w:r>
      <w:r w:rsidR="00166109" w:rsidRPr="00BB2000">
        <w:rPr>
          <w:rFonts w:cs="Times New Roman"/>
          <w:lang w:val="en-GB"/>
        </w:rPr>
        <w:t>high-efficiency kilns</w:t>
      </w:r>
      <w:r w:rsidR="00E44227">
        <w:rPr>
          <w:rFonts w:cs="Times New Roman"/>
          <w:lang w:val="en-GB"/>
        </w:rPr>
        <w:t>. C</w:t>
      </w:r>
      <w:r w:rsidR="0045189E">
        <w:rPr>
          <w:rFonts w:cs="Times New Roman"/>
          <w:lang w:val="en-GB"/>
        </w:rPr>
        <w:t>ement manufacturers seem to be spreading production across as many installations as possible to gain maximum free allocation</w:t>
      </w:r>
      <w:r w:rsidR="00DC7E0D">
        <w:rPr>
          <w:rFonts w:cs="Times New Roman"/>
          <w:lang w:val="en-GB"/>
        </w:rPr>
        <w:t xml:space="preserve"> for each one of them</w:t>
      </w:r>
      <w:r w:rsidR="0045189E">
        <w:rPr>
          <w:rFonts w:cs="Times New Roman"/>
          <w:lang w:val="en-GB"/>
        </w:rPr>
        <w:t>, with the result that emissions increase.</w:t>
      </w:r>
    </w:p>
    <w:p w14:paraId="646772AC" w14:textId="69ECB5FF" w:rsidR="00A87B3C" w:rsidRPr="00A7519B" w:rsidRDefault="00E44227" w:rsidP="00A87B3C">
      <w:pPr>
        <w:pStyle w:val="NoSpacing"/>
        <w:numPr>
          <w:ilvl w:val="0"/>
          <w:numId w:val="5"/>
        </w:numPr>
        <w:rPr>
          <w:rFonts w:cs="Times New Roman"/>
          <w:lang w:val="en-GB"/>
        </w:rPr>
      </w:pPr>
      <w:r>
        <w:rPr>
          <w:rFonts w:cs="Times New Roman"/>
          <w:b/>
          <w:lang w:val="en-GB"/>
        </w:rPr>
        <w:t>I</w:t>
      </w:r>
      <w:r w:rsidR="001201EE" w:rsidRPr="00BB4EDD">
        <w:rPr>
          <w:rFonts w:cs="Times New Roman"/>
          <w:b/>
          <w:lang w:val="en-GB"/>
        </w:rPr>
        <w:t xml:space="preserve">n some major producing countries </w:t>
      </w:r>
      <w:r>
        <w:rPr>
          <w:rFonts w:cs="Times New Roman"/>
          <w:b/>
          <w:lang w:val="en-GB"/>
        </w:rPr>
        <w:t xml:space="preserve">cement is </w:t>
      </w:r>
      <w:r w:rsidR="00A87B3C" w:rsidRPr="00BB4EDD">
        <w:rPr>
          <w:rFonts w:cs="Times New Roman"/>
          <w:b/>
          <w:lang w:val="en-GB"/>
        </w:rPr>
        <w:t>being made with increasing proportion of clinker</w:t>
      </w:r>
      <w:r w:rsidR="002263EF" w:rsidRPr="00BB4EDD">
        <w:rPr>
          <w:rFonts w:cs="Times New Roman"/>
          <w:b/>
          <w:lang w:val="en-GB"/>
        </w:rPr>
        <w:t>, which increases emissions</w:t>
      </w:r>
      <w:r w:rsidR="00A87B3C" w:rsidRPr="00BB4EDD">
        <w:rPr>
          <w:rFonts w:cs="Times New Roman"/>
          <w:b/>
          <w:lang w:val="en-GB"/>
        </w:rPr>
        <w:t>.</w:t>
      </w:r>
      <w:r w:rsidR="00A87B3C" w:rsidRPr="00A7519B">
        <w:rPr>
          <w:rFonts w:cs="Times New Roman"/>
          <w:lang w:val="en-GB"/>
        </w:rPr>
        <w:t xml:space="preserve">  </w:t>
      </w:r>
      <w:r w:rsidR="0045189E">
        <w:rPr>
          <w:rFonts w:cs="Times New Roman"/>
          <w:lang w:val="en-GB"/>
        </w:rPr>
        <w:t>In spite of the average clinker-to-cement ratio in Europe being 74%, during the existence of the ETS this number rose to 75%</w:t>
      </w:r>
      <w:r>
        <w:rPr>
          <w:rFonts w:cs="Times New Roman"/>
          <w:lang w:val="en-GB"/>
        </w:rPr>
        <w:t xml:space="preserve"> in Italy</w:t>
      </w:r>
      <w:r w:rsidR="0045189E">
        <w:rPr>
          <w:rFonts w:cs="Times New Roman"/>
          <w:lang w:val="en-GB"/>
        </w:rPr>
        <w:t>, and 80% in Spain.</w:t>
      </w:r>
    </w:p>
    <w:p w14:paraId="63ACEAB8" w14:textId="09F6F671" w:rsidR="00BB2000" w:rsidRPr="00DC253B" w:rsidRDefault="00BD33C6" w:rsidP="00DC253B">
      <w:pPr>
        <w:pStyle w:val="NoSpacing"/>
        <w:numPr>
          <w:ilvl w:val="0"/>
          <w:numId w:val="5"/>
        </w:numPr>
        <w:rPr>
          <w:rFonts w:cs="Times New Roman"/>
          <w:lang w:val="en-GB"/>
        </w:rPr>
      </w:pPr>
      <w:r>
        <w:rPr>
          <w:rFonts w:cs="Times New Roman"/>
          <w:lang w:val="en-GB"/>
        </w:rPr>
        <w:t>S</w:t>
      </w:r>
      <w:r w:rsidR="00A7519B" w:rsidRPr="00A7519B">
        <w:rPr>
          <w:rFonts w:cs="Times New Roman"/>
          <w:lang w:val="en-GB"/>
        </w:rPr>
        <w:t>urplus allocation</w:t>
      </w:r>
      <w:r w:rsidR="00A7519B" w:rsidRPr="00A7519B" w:rsidDel="00474F41">
        <w:rPr>
          <w:rFonts w:cs="Times New Roman"/>
          <w:lang w:val="en-GB"/>
        </w:rPr>
        <w:t xml:space="preserve"> </w:t>
      </w:r>
      <w:r w:rsidR="009F7243" w:rsidRPr="00A7519B">
        <w:rPr>
          <w:rFonts w:cs="Times New Roman"/>
          <w:u w:val="single"/>
          <w:lang w:val="en-GB"/>
        </w:rPr>
        <w:t>subsidise</w:t>
      </w:r>
      <w:r w:rsidR="001201EE">
        <w:rPr>
          <w:rFonts w:cs="Times New Roman"/>
          <w:u w:val="single"/>
          <w:lang w:val="en-GB"/>
        </w:rPr>
        <w:t>s</w:t>
      </w:r>
      <w:r w:rsidR="009F7243" w:rsidRPr="00A7519B">
        <w:rPr>
          <w:rFonts w:cs="Times New Roman"/>
          <w:lang w:val="en-GB"/>
        </w:rPr>
        <w:t xml:space="preserve"> </w:t>
      </w:r>
      <w:r w:rsidR="00A7519B" w:rsidRPr="00A7519B">
        <w:rPr>
          <w:rFonts w:cs="Times New Roman"/>
          <w:lang w:val="en-GB"/>
        </w:rPr>
        <w:t xml:space="preserve">clinker production </w:t>
      </w:r>
      <w:r w:rsidR="00A7519B">
        <w:rPr>
          <w:rFonts w:cs="Times New Roman"/>
          <w:lang w:val="en-GB"/>
        </w:rPr>
        <w:t xml:space="preserve">to </w:t>
      </w:r>
      <w:r w:rsidR="00E44227">
        <w:rPr>
          <w:rFonts w:cs="Times New Roman"/>
          <w:lang w:val="en-GB"/>
        </w:rPr>
        <w:t>such a degree</w:t>
      </w:r>
      <w:r w:rsidR="00A7519B">
        <w:rPr>
          <w:rFonts w:cs="Times New Roman"/>
          <w:lang w:val="en-GB"/>
        </w:rPr>
        <w:t xml:space="preserve"> that</w:t>
      </w:r>
      <w:r w:rsidR="0045189E">
        <w:rPr>
          <w:rFonts w:cs="Times New Roman"/>
          <w:lang w:val="en-GB"/>
        </w:rPr>
        <w:t xml:space="preserve"> between 2005 and 2013</w:t>
      </w:r>
      <w:r w:rsidR="00A7519B">
        <w:rPr>
          <w:rFonts w:cs="Times New Roman"/>
          <w:lang w:val="en-GB"/>
        </w:rPr>
        <w:t xml:space="preserve"> </w:t>
      </w:r>
      <w:r w:rsidR="009F7243" w:rsidRPr="002263EF">
        <w:rPr>
          <w:rFonts w:cs="Times New Roman"/>
          <w:b/>
          <w:lang w:val="en-GB"/>
        </w:rPr>
        <w:t xml:space="preserve">Europe </w:t>
      </w:r>
      <w:r w:rsidR="00A7519B" w:rsidRPr="002263EF">
        <w:rPr>
          <w:rFonts w:cs="Times New Roman"/>
          <w:b/>
          <w:lang w:val="en-GB"/>
        </w:rPr>
        <w:t>has turned from an importer to an exporter of clinker</w:t>
      </w:r>
      <w:r w:rsidR="00DF46FD">
        <w:rPr>
          <w:rFonts w:cs="Times New Roman"/>
          <w:lang w:val="en-GB"/>
        </w:rPr>
        <w:t>. R</w:t>
      </w:r>
      <w:r w:rsidR="00A7519B">
        <w:rPr>
          <w:rFonts w:cs="Times New Roman"/>
          <w:lang w:val="en-GB"/>
        </w:rPr>
        <w:t>ather than causing emissions to leak and industry to move abroad</w:t>
      </w:r>
      <w:r w:rsidR="00DF46FD">
        <w:rPr>
          <w:rFonts w:cs="Times New Roman"/>
          <w:lang w:val="en-GB"/>
        </w:rPr>
        <w:t xml:space="preserve"> </w:t>
      </w:r>
      <w:r w:rsidR="00A7519B">
        <w:rPr>
          <w:rFonts w:cs="Times New Roman"/>
          <w:lang w:val="en-GB"/>
        </w:rPr>
        <w:t xml:space="preserve">the opposite </w:t>
      </w:r>
      <w:r w:rsidR="00DF46FD">
        <w:rPr>
          <w:rFonts w:cs="Times New Roman"/>
          <w:lang w:val="en-GB"/>
        </w:rPr>
        <w:t>has occur</w:t>
      </w:r>
      <w:r w:rsidR="001201EE">
        <w:rPr>
          <w:rFonts w:cs="Times New Roman"/>
          <w:lang w:val="en-GB"/>
        </w:rPr>
        <w:t>r</w:t>
      </w:r>
      <w:r w:rsidR="00DF46FD">
        <w:rPr>
          <w:rFonts w:cs="Times New Roman"/>
          <w:lang w:val="en-GB"/>
        </w:rPr>
        <w:t xml:space="preserve">ed </w:t>
      </w:r>
      <w:r w:rsidR="00A7519B">
        <w:rPr>
          <w:rFonts w:cs="Times New Roman"/>
          <w:lang w:val="en-GB"/>
        </w:rPr>
        <w:t xml:space="preserve">–emissions </w:t>
      </w:r>
      <w:r w:rsidR="00E44227">
        <w:rPr>
          <w:rFonts w:cs="Times New Roman"/>
          <w:lang w:val="en-GB"/>
        </w:rPr>
        <w:t xml:space="preserve">have increased </w:t>
      </w:r>
      <w:r w:rsidR="00A7519B">
        <w:rPr>
          <w:rFonts w:cs="Times New Roman"/>
          <w:lang w:val="en-GB"/>
        </w:rPr>
        <w:t>at home.</w:t>
      </w:r>
      <w:r w:rsidR="00522E58">
        <w:rPr>
          <w:rFonts w:cs="Times New Roman"/>
          <w:lang w:val="en-GB"/>
        </w:rPr>
        <w:t xml:space="preserve"> </w:t>
      </w:r>
      <w:r w:rsidR="0045189E">
        <w:rPr>
          <w:rFonts w:cs="Times New Roman"/>
          <w:lang w:val="en-GB"/>
        </w:rPr>
        <w:t xml:space="preserve"> In 2012, the first year affected by these perverse incentives, European clinker exports stood at 6.4 million tonnes, nearly 4 tim</w:t>
      </w:r>
      <w:r w:rsidR="00BF0519">
        <w:rPr>
          <w:rFonts w:cs="Times New Roman"/>
          <w:lang w:val="en-GB"/>
        </w:rPr>
        <w:t xml:space="preserve">es the </w:t>
      </w:r>
      <w:r w:rsidR="009A1EF6">
        <w:rPr>
          <w:rFonts w:cs="Times New Roman"/>
          <w:lang w:val="en-GB"/>
        </w:rPr>
        <w:t>level from 2011</w:t>
      </w:r>
      <w:r w:rsidR="00BF0519">
        <w:rPr>
          <w:rFonts w:cs="Times New Roman"/>
          <w:lang w:val="en-GB"/>
        </w:rPr>
        <w:t xml:space="preserve"> – and a further increase to 7.8 million tonnes was recorded in 2013.</w:t>
      </w:r>
    </w:p>
    <w:p w14:paraId="453B7C08" w14:textId="77777777" w:rsidR="009326CD" w:rsidRPr="00320162" w:rsidRDefault="009326CD" w:rsidP="009326CD">
      <w:pPr>
        <w:pStyle w:val="NoSpacing"/>
        <w:ind w:left="360"/>
        <w:rPr>
          <w:b/>
          <w:lang w:val="en-GB"/>
        </w:rPr>
      </w:pPr>
    </w:p>
    <w:p w14:paraId="7BF214F7" w14:textId="17B4EF54" w:rsidR="00BD33C6" w:rsidRDefault="007F3252" w:rsidP="00D26AB0">
      <w:pPr>
        <w:pStyle w:val="NoSpacing"/>
        <w:rPr>
          <w:lang w:val="en-GB"/>
        </w:rPr>
      </w:pPr>
      <w:r>
        <w:rPr>
          <w:b/>
          <w:lang w:val="en-GB"/>
        </w:rPr>
        <w:t>We crown the</w:t>
      </w:r>
      <w:r w:rsidRPr="00320162">
        <w:rPr>
          <w:b/>
          <w:lang w:val="en-GB"/>
        </w:rPr>
        <w:t xml:space="preserve"> </w:t>
      </w:r>
      <w:r w:rsidR="0099664A" w:rsidRPr="00320162">
        <w:rPr>
          <w:b/>
          <w:lang w:val="en-GB"/>
        </w:rPr>
        <w:t xml:space="preserve">Cement sector the new </w:t>
      </w:r>
      <w:r w:rsidR="005C3FFA" w:rsidRPr="00320162">
        <w:rPr>
          <w:b/>
          <w:lang w:val="en-GB"/>
        </w:rPr>
        <w:t>“</w:t>
      </w:r>
      <w:r w:rsidR="0099664A" w:rsidRPr="00320162">
        <w:rPr>
          <w:b/>
          <w:lang w:val="en-GB"/>
        </w:rPr>
        <w:t xml:space="preserve">ETS </w:t>
      </w:r>
      <w:r w:rsidR="005C3FFA" w:rsidRPr="00320162">
        <w:rPr>
          <w:b/>
          <w:lang w:val="en-GB"/>
        </w:rPr>
        <w:t>F</w:t>
      </w:r>
      <w:r w:rsidR="0099664A" w:rsidRPr="00320162">
        <w:rPr>
          <w:b/>
          <w:lang w:val="en-GB"/>
        </w:rPr>
        <w:t>at</w:t>
      </w:r>
      <w:r w:rsidR="005C3FFA" w:rsidRPr="00320162">
        <w:rPr>
          <w:b/>
          <w:lang w:val="en-GB"/>
        </w:rPr>
        <w:t xml:space="preserve"> C</w:t>
      </w:r>
      <w:r w:rsidR="0099664A" w:rsidRPr="00320162">
        <w:rPr>
          <w:b/>
          <w:lang w:val="en-GB"/>
        </w:rPr>
        <w:t>at</w:t>
      </w:r>
      <w:r w:rsidR="005C3FFA" w:rsidRPr="00320162">
        <w:rPr>
          <w:b/>
          <w:lang w:val="en-GB"/>
        </w:rPr>
        <w:t>”</w:t>
      </w:r>
      <w:r w:rsidR="005C3FFA" w:rsidRPr="00320162">
        <w:rPr>
          <w:lang w:val="en-GB"/>
        </w:rPr>
        <w:t xml:space="preserve"> </w:t>
      </w:r>
    </w:p>
    <w:p w14:paraId="5F9202E9" w14:textId="77777777" w:rsidR="00BD33C6" w:rsidRDefault="00BD33C6" w:rsidP="00D26AB0">
      <w:pPr>
        <w:pStyle w:val="NoSpacing"/>
        <w:rPr>
          <w:lang w:val="en-GB"/>
        </w:rPr>
      </w:pPr>
    </w:p>
    <w:p w14:paraId="3F0A4CC1" w14:textId="3AC26529" w:rsidR="00256D24" w:rsidRPr="00A7519B" w:rsidRDefault="005C3FFA" w:rsidP="00D26AB0">
      <w:pPr>
        <w:pStyle w:val="NoSpacing"/>
        <w:rPr>
          <w:rFonts w:cs="Times New Roman"/>
          <w:b/>
          <w:lang w:val="en-GB"/>
        </w:rPr>
      </w:pPr>
      <w:r w:rsidRPr="00A7519B">
        <w:rPr>
          <w:lang w:val="en-GB"/>
        </w:rPr>
        <w:t>R</w:t>
      </w:r>
      <w:r w:rsidR="0099664A" w:rsidRPr="00A7519B">
        <w:rPr>
          <w:lang w:val="en-GB"/>
        </w:rPr>
        <w:t xml:space="preserve">elative to its emissions, </w:t>
      </w:r>
      <w:r w:rsidR="00166109" w:rsidRPr="00A7519B">
        <w:rPr>
          <w:lang w:val="en-GB"/>
        </w:rPr>
        <w:t xml:space="preserve">the </w:t>
      </w:r>
      <w:r w:rsidR="0099664A" w:rsidRPr="00A7519B">
        <w:rPr>
          <w:lang w:val="en-GB"/>
        </w:rPr>
        <w:t xml:space="preserve">burgeoning </w:t>
      </w:r>
      <w:r w:rsidR="0011357B" w:rsidRPr="00A7519B">
        <w:rPr>
          <w:lang w:val="en-GB"/>
        </w:rPr>
        <w:t xml:space="preserve">surplus of </w:t>
      </w:r>
      <w:r w:rsidR="0099664A" w:rsidRPr="00A7519B">
        <w:rPr>
          <w:lang w:val="en-GB"/>
        </w:rPr>
        <w:t>allowance</w:t>
      </w:r>
      <w:r w:rsidR="0011357B" w:rsidRPr="00A7519B">
        <w:rPr>
          <w:lang w:val="en-GB"/>
        </w:rPr>
        <w:t>s</w:t>
      </w:r>
      <w:r w:rsidR="0099664A" w:rsidRPr="00A7519B">
        <w:rPr>
          <w:lang w:val="en-GB"/>
        </w:rPr>
        <w:t xml:space="preserve"> </w:t>
      </w:r>
      <w:r w:rsidR="0011357B" w:rsidRPr="00A7519B">
        <w:rPr>
          <w:lang w:val="en-GB"/>
        </w:rPr>
        <w:t xml:space="preserve">for cement </w:t>
      </w:r>
      <w:r w:rsidR="0099664A" w:rsidRPr="00A7519B">
        <w:rPr>
          <w:lang w:val="en-GB"/>
        </w:rPr>
        <w:t xml:space="preserve">now dwarfs </w:t>
      </w:r>
      <w:r w:rsidR="00BD33C6">
        <w:rPr>
          <w:lang w:val="en-GB"/>
        </w:rPr>
        <w:t>the steel sector’s</w:t>
      </w:r>
      <w:r w:rsidR="0099664A" w:rsidRPr="00A7519B">
        <w:rPr>
          <w:lang w:val="en-GB"/>
        </w:rPr>
        <w:t>, the previous largest holder</w:t>
      </w:r>
      <w:r w:rsidR="00A7519B">
        <w:rPr>
          <w:lang w:val="en-GB"/>
        </w:rPr>
        <w:t>, as of 2013</w:t>
      </w:r>
      <w:r w:rsidR="00166109" w:rsidRPr="00A7519B">
        <w:rPr>
          <w:lang w:val="en-GB"/>
        </w:rPr>
        <w:t xml:space="preserve">.  </w:t>
      </w:r>
      <w:r w:rsidR="00256D24" w:rsidRPr="00A7519B">
        <w:rPr>
          <w:lang w:val="en-GB"/>
        </w:rPr>
        <w:t xml:space="preserve">This </w:t>
      </w:r>
      <w:r w:rsidR="00474F41" w:rsidRPr="00A7519B">
        <w:rPr>
          <w:lang w:val="en-GB"/>
        </w:rPr>
        <w:t xml:space="preserve">over-allocation </w:t>
      </w:r>
      <w:r w:rsidR="00256D24" w:rsidRPr="00A7519B">
        <w:rPr>
          <w:lang w:val="en-GB"/>
        </w:rPr>
        <w:t xml:space="preserve">is not only increasing the EU ETS windfall for the </w:t>
      </w:r>
      <w:r w:rsidR="0011357B" w:rsidRPr="00A7519B">
        <w:rPr>
          <w:lang w:val="en-GB"/>
        </w:rPr>
        <w:t xml:space="preserve">cement </w:t>
      </w:r>
      <w:r w:rsidR="00256D24" w:rsidRPr="00A7519B">
        <w:rPr>
          <w:lang w:val="en-GB"/>
        </w:rPr>
        <w:t xml:space="preserve">sector, </w:t>
      </w:r>
      <w:r w:rsidR="00474F41" w:rsidRPr="00A7519B">
        <w:rPr>
          <w:lang w:val="en-GB"/>
        </w:rPr>
        <w:t xml:space="preserve">but </w:t>
      </w:r>
      <w:r w:rsidR="00256D24" w:rsidRPr="00A7519B">
        <w:rPr>
          <w:lang w:val="en-GB"/>
        </w:rPr>
        <w:t xml:space="preserve">is </w:t>
      </w:r>
      <w:r w:rsidR="00474F41" w:rsidRPr="00A7519B">
        <w:rPr>
          <w:lang w:val="en-GB"/>
        </w:rPr>
        <w:t xml:space="preserve">also </w:t>
      </w:r>
      <w:r w:rsidR="00DC253B">
        <w:rPr>
          <w:lang w:val="en-GB"/>
        </w:rPr>
        <w:t xml:space="preserve">fostering </w:t>
      </w:r>
      <w:r w:rsidR="00256D24" w:rsidRPr="00A7519B">
        <w:rPr>
          <w:lang w:val="en-GB"/>
        </w:rPr>
        <w:t xml:space="preserve">complacency </w:t>
      </w:r>
      <w:r w:rsidR="00DC253B">
        <w:rPr>
          <w:lang w:val="en-GB"/>
        </w:rPr>
        <w:t xml:space="preserve">about </w:t>
      </w:r>
      <w:r w:rsidR="00256D24" w:rsidRPr="00A7519B">
        <w:rPr>
          <w:lang w:val="en-GB"/>
        </w:rPr>
        <w:t>decarbonisation.</w:t>
      </w:r>
    </w:p>
    <w:p w14:paraId="14FAC28A" w14:textId="7963435E" w:rsidR="00256D24" w:rsidRPr="007F71B2" w:rsidRDefault="00DD297E" w:rsidP="009326CD">
      <w:pPr>
        <w:pStyle w:val="NoSpacing"/>
        <w:numPr>
          <w:ilvl w:val="0"/>
          <w:numId w:val="5"/>
        </w:numPr>
        <w:rPr>
          <w:rFonts w:cs="Times New Roman"/>
          <w:lang w:val="en-GB"/>
        </w:rPr>
      </w:pPr>
      <w:r w:rsidRPr="00320162">
        <w:rPr>
          <w:lang w:val="en-GB"/>
        </w:rPr>
        <w:t>From 2008 to 2014</w:t>
      </w:r>
      <w:r w:rsidR="00256D24" w:rsidRPr="00320162">
        <w:rPr>
          <w:lang w:val="en-GB"/>
        </w:rPr>
        <w:t>, t</w:t>
      </w:r>
      <w:r w:rsidR="002E1349" w:rsidRPr="00320162">
        <w:rPr>
          <w:lang w:val="en-GB"/>
        </w:rPr>
        <w:t>he cement sector</w:t>
      </w:r>
      <w:r w:rsidR="00256D24" w:rsidRPr="00320162">
        <w:rPr>
          <w:lang w:val="en-GB"/>
        </w:rPr>
        <w:t xml:space="preserve"> </w:t>
      </w:r>
      <w:r w:rsidR="00474F41" w:rsidRPr="00320162">
        <w:rPr>
          <w:lang w:val="en-GB"/>
        </w:rPr>
        <w:t xml:space="preserve">received enough </w:t>
      </w:r>
      <w:r w:rsidRPr="00320162">
        <w:rPr>
          <w:lang w:val="en-GB"/>
        </w:rPr>
        <w:t>surplus allowances</w:t>
      </w:r>
      <w:r w:rsidR="00474F41" w:rsidRPr="00320162">
        <w:rPr>
          <w:lang w:val="en-GB"/>
        </w:rPr>
        <w:t xml:space="preserve"> to </w:t>
      </w:r>
      <w:r w:rsidRPr="00320162">
        <w:rPr>
          <w:lang w:val="en-GB"/>
        </w:rPr>
        <w:t>cover 2.2 years of additional emissions without buying a</w:t>
      </w:r>
      <w:r w:rsidR="00BD33C6">
        <w:rPr>
          <w:lang w:val="en-GB"/>
        </w:rPr>
        <w:t xml:space="preserve"> single</w:t>
      </w:r>
      <w:r w:rsidRPr="00320162">
        <w:rPr>
          <w:lang w:val="en-GB"/>
        </w:rPr>
        <w:t xml:space="preserve"> </w:t>
      </w:r>
      <w:r w:rsidR="00BD33C6">
        <w:rPr>
          <w:lang w:val="en-GB"/>
        </w:rPr>
        <w:t>allowance</w:t>
      </w:r>
      <w:r w:rsidRPr="00320162">
        <w:rPr>
          <w:lang w:val="en-GB"/>
        </w:rPr>
        <w:t xml:space="preserve">.  </w:t>
      </w:r>
    </w:p>
    <w:p w14:paraId="756B8B97" w14:textId="58611888" w:rsidR="00443FCC" w:rsidRPr="00E15ED9" w:rsidRDefault="005E50A1" w:rsidP="001201EE">
      <w:pPr>
        <w:pStyle w:val="NoSpacing"/>
        <w:numPr>
          <w:ilvl w:val="0"/>
          <w:numId w:val="5"/>
        </w:numPr>
        <w:rPr>
          <w:lang w:val="en-GB"/>
        </w:rPr>
      </w:pPr>
      <w:r>
        <w:rPr>
          <w:lang w:val="en-GB"/>
        </w:rPr>
        <w:t>E</w:t>
      </w:r>
      <w:r w:rsidRPr="00E15ED9">
        <w:rPr>
          <w:lang w:val="en-GB"/>
        </w:rPr>
        <w:t xml:space="preserve">ven </w:t>
      </w:r>
      <w:r w:rsidR="00DD297E" w:rsidRPr="00E15ED9">
        <w:rPr>
          <w:lang w:val="en-GB"/>
        </w:rPr>
        <w:t>though the 3</w:t>
      </w:r>
      <w:r w:rsidR="00DD297E" w:rsidRPr="00E15ED9">
        <w:rPr>
          <w:vertAlign w:val="superscript"/>
          <w:lang w:val="en-GB"/>
        </w:rPr>
        <w:t>rd</w:t>
      </w:r>
      <w:r w:rsidR="00DD297E" w:rsidRPr="00E15ED9">
        <w:rPr>
          <w:lang w:val="en-GB"/>
        </w:rPr>
        <w:t xml:space="preserve"> phase of the EU ETS</w:t>
      </w:r>
      <w:r w:rsidR="00474F41" w:rsidRPr="00E15ED9">
        <w:rPr>
          <w:lang w:val="en-GB"/>
        </w:rPr>
        <w:t xml:space="preserve"> introduced measures to rein in over-allocation</w:t>
      </w:r>
      <w:r w:rsidR="00DD297E" w:rsidRPr="00E15ED9">
        <w:rPr>
          <w:lang w:val="en-GB"/>
        </w:rPr>
        <w:t xml:space="preserve">, </w:t>
      </w:r>
      <w:r w:rsidR="00474F41" w:rsidRPr="00E15ED9">
        <w:rPr>
          <w:lang w:val="en-GB"/>
        </w:rPr>
        <w:t xml:space="preserve">the cement sector’s </w:t>
      </w:r>
      <w:r w:rsidR="00DD297E" w:rsidRPr="00E15ED9">
        <w:rPr>
          <w:lang w:val="en-GB"/>
        </w:rPr>
        <w:t>surplus will</w:t>
      </w:r>
      <w:r w:rsidR="007F71B2" w:rsidRPr="00E15ED9">
        <w:rPr>
          <w:lang w:val="en-GB"/>
        </w:rPr>
        <w:t xml:space="preserve">, </w:t>
      </w:r>
      <w:r w:rsidR="00DD297E" w:rsidRPr="00E15ED9">
        <w:rPr>
          <w:lang w:val="en-GB"/>
        </w:rPr>
        <w:t xml:space="preserve">continue to rise to 2020 </w:t>
      </w:r>
      <w:r w:rsidR="00E15ED9" w:rsidRPr="00E15ED9">
        <w:rPr>
          <w:lang w:val="en-GB"/>
        </w:rPr>
        <w:t xml:space="preserve">when it will be equivalent in volume to </w:t>
      </w:r>
      <w:r w:rsidR="00DD297E" w:rsidRPr="00E15ED9">
        <w:rPr>
          <w:lang w:val="en-GB"/>
        </w:rPr>
        <w:t xml:space="preserve">2.5 years’ of </w:t>
      </w:r>
      <w:r w:rsidR="00E15ED9" w:rsidRPr="00E15ED9">
        <w:rPr>
          <w:lang w:val="en-GB"/>
        </w:rPr>
        <w:t xml:space="preserve">full </w:t>
      </w:r>
      <w:r w:rsidR="00DD297E" w:rsidRPr="00E15ED9">
        <w:rPr>
          <w:lang w:val="en-GB"/>
        </w:rPr>
        <w:t>emissions</w:t>
      </w:r>
      <w:r>
        <w:rPr>
          <w:lang w:val="en-GB"/>
        </w:rPr>
        <w:t xml:space="preserve"> (</w:t>
      </w:r>
      <w:r w:rsidRPr="00E15ED9">
        <w:rPr>
          <w:lang w:val="en-GB"/>
        </w:rPr>
        <w:t>assumin</w:t>
      </w:r>
      <w:r>
        <w:rPr>
          <w:lang w:val="en-GB"/>
        </w:rPr>
        <w:t>g activity stays at 2014 levels).</w:t>
      </w:r>
    </w:p>
    <w:p w14:paraId="6775C210" w14:textId="1E5E55CA" w:rsidR="00A91114" w:rsidRPr="00BD33C6" w:rsidRDefault="00A91114" w:rsidP="002263EF">
      <w:pPr>
        <w:pStyle w:val="NoSpacing"/>
        <w:numPr>
          <w:ilvl w:val="0"/>
          <w:numId w:val="8"/>
        </w:numPr>
        <w:rPr>
          <w:lang w:val="en-GB"/>
        </w:rPr>
      </w:pPr>
      <w:r w:rsidRPr="00BD33C6">
        <w:rPr>
          <w:lang w:val="en-GB"/>
        </w:rPr>
        <w:t xml:space="preserve">This expanding surplus is fed by allowances the sector receives as protection against carbon leakage. </w:t>
      </w:r>
    </w:p>
    <w:p w14:paraId="387A0BCF" w14:textId="0F8F3895" w:rsidR="0011357B" w:rsidRPr="006329B6" w:rsidRDefault="0011357B" w:rsidP="000F14CD">
      <w:pPr>
        <w:pStyle w:val="NoSpacing"/>
        <w:rPr>
          <w:rFonts w:cs="Times New Roman"/>
          <w:lang w:val="en-GB"/>
        </w:rPr>
      </w:pPr>
      <w:r w:rsidRPr="006329B6">
        <w:rPr>
          <w:rFonts w:cs="Times New Roman"/>
          <w:b/>
          <w:lang w:val="en-GB"/>
        </w:rPr>
        <w:t xml:space="preserve">We find </w:t>
      </w:r>
      <w:r w:rsidR="000F14CD" w:rsidRPr="006329B6">
        <w:rPr>
          <w:rFonts w:cs="Times New Roman"/>
          <w:b/>
          <w:lang w:val="en-GB"/>
        </w:rPr>
        <w:t xml:space="preserve">no evidence that the ETS has </w:t>
      </w:r>
      <w:r w:rsidR="00D834F2" w:rsidRPr="006329B6">
        <w:rPr>
          <w:rFonts w:cs="Times New Roman"/>
          <w:b/>
          <w:lang w:val="en-GB"/>
        </w:rPr>
        <w:t xml:space="preserve">directly </w:t>
      </w:r>
      <w:r w:rsidR="000F14CD" w:rsidRPr="006329B6">
        <w:rPr>
          <w:rFonts w:cs="Times New Roman"/>
          <w:b/>
          <w:lang w:val="en-GB"/>
        </w:rPr>
        <w:t xml:space="preserve">contributed to </w:t>
      </w:r>
      <w:r w:rsidRPr="006329B6">
        <w:rPr>
          <w:rFonts w:cs="Times New Roman"/>
          <w:b/>
          <w:lang w:val="en-GB"/>
        </w:rPr>
        <w:t>decarbonisation in the cement sector</w:t>
      </w:r>
      <w:r w:rsidRPr="006329B6">
        <w:rPr>
          <w:rFonts w:cs="Times New Roman"/>
          <w:lang w:val="en-GB"/>
        </w:rPr>
        <w:t xml:space="preserve">. </w:t>
      </w:r>
    </w:p>
    <w:p w14:paraId="22636A51" w14:textId="100FB296" w:rsidR="0011357B" w:rsidRPr="000E1D78" w:rsidRDefault="0011357B" w:rsidP="000F14CD">
      <w:pPr>
        <w:pStyle w:val="NoSpacing"/>
        <w:numPr>
          <w:ilvl w:val="0"/>
          <w:numId w:val="6"/>
        </w:numPr>
        <w:rPr>
          <w:rFonts w:cs="Times New Roman"/>
          <w:lang w:val="en-GB"/>
        </w:rPr>
      </w:pPr>
      <w:r w:rsidRPr="008B0EBD">
        <w:rPr>
          <w:rFonts w:cs="Times New Roman"/>
          <w:lang w:val="en-GB"/>
        </w:rPr>
        <w:t xml:space="preserve">The use of cleaner fuels, like biomass, has increased.  But we show this is mainly due to national policies and the uptake of this remains very low in many countries. </w:t>
      </w:r>
    </w:p>
    <w:p w14:paraId="7E702CC0" w14:textId="77777777" w:rsidR="00AB5BAF" w:rsidRDefault="00AB5BAF" w:rsidP="000F14CD">
      <w:pPr>
        <w:pStyle w:val="NoSpacing"/>
        <w:rPr>
          <w:rFonts w:cs="Times New Roman"/>
          <w:b/>
          <w:lang w:val="en-GB"/>
        </w:rPr>
      </w:pPr>
    </w:p>
    <w:p w14:paraId="527D3B67" w14:textId="1FF6EEFA" w:rsidR="006329B6" w:rsidRPr="00DC253B" w:rsidRDefault="006329B6" w:rsidP="006329B6">
      <w:pPr>
        <w:pStyle w:val="NoSpacing"/>
        <w:rPr>
          <w:lang w:val="en-GB"/>
        </w:rPr>
      </w:pPr>
      <w:r w:rsidRPr="00025E95">
        <w:rPr>
          <w:rFonts w:cs="Times New Roman"/>
          <w:b/>
          <w:lang w:val="en-GB"/>
        </w:rPr>
        <w:t>We make proposals</w:t>
      </w:r>
      <w:r w:rsidRPr="00BB2000">
        <w:rPr>
          <w:rFonts w:cs="Times New Roman"/>
          <w:b/>
          <w:lang w:val="en-GB"/>
        </w:rPr>
        <w:t xml:space="preserve"> to urgently change the allocation rules, </w:t>
      </w:r>
      <w:r>
        <w:rPr>
          <w:rFonts w:cs="Times New Roman"/>
          <w:b/>
          <w:lang w:val="en-GB"/>
        </w:rPr>
        <w:t xml:space="preserve">eliminate </w:t>
      </w:r>
      <w:r w:rsidRPr="00BB2000">
        <w:rPr>
          <w:rFonts w:cs="Times New Roman"/>
          <w:b/>
          <w:lang w:val="en-GB"/>
        </w:rPr>
        <w:t>perverse incentives and avoid over-allocation.</w:t>
      </w:r>
      <w:r w:rsidRPr="00BB2000">
        <w:rPr>
          <w:rFonts w:cs="Times New Roman"/>
          <w:lang w:val="en-GB"/>
        </w:rPr>
        <w:t xml:space="preserve">   This means closing the loophole which </w:t>
      </w:r>
      <w:r>
        <w:rPr>
          <w:rFonts w:cs="Times New Roman"/>
          <w:lang w:val="en-GB"/>
        </w:rPr>
        <w:t xml:space="preserve">allows installations to keep </w:t>
      </w:r>
      <w:r w:rsidRPr="00BB2000">
        <w:rPr>
          <w:rFonts w:cs="Times New Roman"/>
          <w:lang w:val="en-GB"/>
        </w:rPr>
        <w:t xml:space="preserve">100% of </w:t>
      </w:r>
      <w:r>
        <w:rPr>
          <w:rFonts w:cs="Times New Roman"/>
          <w:lang w:val="en-GB"/>
        </w:rPr>
        <w:t>free allocation</w:t>
      </w:r>
      <w:r w:rsidRPr="00BB2000">
        <w:rPr>
          <w:rFonts w:cs="Times New Roman"/>
          <w:lang w:val="en-GB"/>
        </w:rPr>
        <w:t xml:space="preserve"> even </w:t>
      </w:r>
      <w:r>
        <w:rPr>
          <w:rFonts w:cs="Times New Roman"/>
          <w:lang w:val="en-GB"/>
        </w:rPr>
        <w:t>if their production dropped by 49%</w:t>
      </w:r>
      <w:r w:rsidRPr="00DC253B">
        <w:rPr>
          <w:rFonts w:cs="Times New Roman"/>
          <w:lang w:val="en-GB"/>
        </w:rPr>
        <w:t xml:space="preserve">.  It also means changing the carbon leakage rules to </w:t>
      </w:r>
      <w:r w:rsidR="005E50A1">
        <w:rPr>
          <w:rFonts w:cs="Times New Roman"/>
          <w:lang w:val="en-GB"/>
        </w:rPr>
        <w:t xml:space="preserve">from the current </w:t>
      </w:r>
      <w:r w:rsidR="00BD33C6">
        <w:rPr>
          <w:rFonts w:cs="Times New Roman"/>
          <w:lang w:val="en-GB"/>
        </w:rPr>
        <w:t>all-or-nothing</w:t>
      </w:r>
      <w:r w:rsidR="005E50A1">
        <w:rPr>
          <w:rFonts w:cs="Times New Roman"/>
          <w:lang w:val="en-GB"/>
        </w:rPr>
        <w:t xml:space="preserve"> system</w:t>
      </w:r>
      <w:r w:rsidRPr="00DC253B">
        <w:rPr>
          <w:rFonts w:cs="Times New Roman"/>
          <w:lang w:val="en-GB"/>
        </w:rPr>
        <w:t xml:space="preserve">, to avoid </w:t>
      </w:r>
      <w:r>
        <w:rPr>
          <w:rFonts w:cs="Times New Roman"/>
          <w:lang w:val="en-GB"/>
        </w:rPr>
        <w:t xml:space="preserve">disproportionate </w:t>
      </w:r>
      <w:r w:rsidRPr="00DC253B">
        <w:rPr>
          <w:rFonts w:cs="Times New Roman"/>
          <w:lang w:val="en-GB"/>
        </w:rPr>
        <w:t>carbon leakage protection.</w:t>
      </w:r>
    </w:p>
    <w:p w14:paraId="2744CFA5" w14:textId="77777777" w:rsidR="006329B6" w:rsidRPr="00DC253B" w:rsidRDefault="006329B6" w:rsidP="000F14CD">
      <w:pPr>
        <w:pStyle w:val="NoSpacing"/>
        <w:rPr>
          <w:rFonts w:cs="Times New Roman"/>
          <w:b/>
          <w:lang w:val="en-GB"/>
        </w:rPr>
      </w:pPr>
    </w:p>
    <w:p w14:paraId="5A66D185" w14:textId="2B6E4BAE" w:rsidR="00BD33C6" w:rsidRDefault="00BD33C6" w:rsidP="00B244FD">
      <w:pPr>
        <w:pStyle w:val="NoSpacing"/>
        <w:rPr>
          <w:rFonts w:cs="Times New Roman"/>
          <w:b/>
          <w:lang w:val="en-GB"/>
        </w:rPr>
      </w:pPr>
      <w:r>
        <w:rPr>
          <w:rFonts w:cs="Times New Roman"/>
          <w:b/>
          <w:lang w:val="en-GB"/>
        </w:rPr>
        <w:t>How can we cut</w:t>
      </w:r>
      <w:r w:rsidR="00B244FD" w:rsidRPr="006329B6">
        <w:rPr>
          <w:rFonts w:cs="Times New Roman"/>
          <w:b/>
          <w:lang w:val="en-GB"/>
        </w:rPr>
        <w:t xml:space="preserve"> cement sector</w:t>
      </w:r>
      <w:r>
        <w:rPr>
          <w:rFonts w:cs="Times New Roman"/>
          <w:b/>
          <w:lang w:val="en-GB"/>
        </w:rPr>
        <w:t xml:space="preserve"> emissions?</w:t>
      </w:r>
    </w:p>
    <w:p w14:paraId="26A9C615" w14:textId="77777777" w:rsidR="00BD33C6" w:rsidRDefault="00BD33C6" w:rsidP="00B244FD">
      <w:pPr>
        <w:pStyle w:val="NoSpacing"/>
        <w:rPr>
          <w:rFonts w:cs="Times New Roman"/>
          <w:b/>
          <w:lang w:val="en-GB"/>
        </w:rPr>
      </w:pPr>
    </w:p>
    <w:p w14:paraId="0D1110E6" w14:textId="1A1AEF2D" w:rsidR="00D834F2" w:rsidRPr="006329B6" w:rsidRDefault="00BD33C6" w:rsidP="002263EF">
      <w:pPr>
        <w:pStyle w:val="NoSpacing"/>
        <w:rPr>
          <w:rFonts w:cs="Times New Roman"/>
          <w:lang w:val="en-GB"/>
        </w:rPr>
      </w:pPr>
      <w:r>
        <w:rPr>
          <w:rFonts w:cs="Times New Roman"/>
          <w:lang w:val="en-GB"/>
        </w:rPr>
        <w:lastRenderedPageBreak/>
        <w:t>First, e</w:t>
      </w:r>
      <w:r w:rsidR="00B244FD" w:rsidRPr="006329B6">
        <w:rPr>
          <w:rFonts w:cs="Times New Roman"/>
          <w:lang w:val="en-GB"/>
        </w:rPr>
        <w:t>nsure a higher carbon price.  This helps not only quick wins, but encourages long-term investment, and makes many of the other recommendation suggested here</w:t>
      </w:r>
      <w:r w:rsidR="006329B6" w:rsidRPr="006329B6">
        <w:rPr>
          <w:rFonts w:cs="Times New Roman"/>
          <w:lang w:val="en-GB"/>
        </w:rPr>
        <w:t xml:space="preserve"> cheaper</w:t>
      </w:r>
      <w:r w:rsidR="00B244FD" w:rsidRPr="006329B6">
        <w:rPr>
          <w:rFonts w:cs="Times New Roman"/>
          <w:lang w:val="en-GB"/>
        </w:rPr>
        <w:t xml:space="preserve">.  </w:t>
      </w:r>
      <w:r w:rsidR="006329B6">
        <w:rPr>
          <w:rFonts w:cs="Times New Roman"/>
          <w:lang w:val="en-GB"/>
        </w:rPr>
        <w:t xml:space="preserve">Further </w:t>
      </w:r>
      <w:r w:rsidR="00B244FD" w:rsidRPr="006329B6">
        <w:rPr>
          <w:rFonts w:cs="Times New Roman"/>
          <w:lang w:val="en-GB"/>
        </w:rPr>
        <w:t xml:space="preserve">recommendations </w:t>
      </w:r>
      <w:r w:rsidR="00C86727">
        <w:rPr>
          <w:rFonts w:cs="Times New Roman"/>
          <w:lang w:val="en-GB"/>
        </w:rPr>
        <w:t xml:space="preserve">are detailed in the report, and </w:t>
      </w:r>
      <w:r w:rsidR="00B244FD" w:rsidRPr="006329B6">
        <w:rPr>
          <w:rFonts w:cs="Times New Roman"/>
          <w:lang w:val="en-GB"/>
        </w:rPr>
        <w:t xml:space="preserve">include </w:t>
      </w:r>
      <w:r w:rsidR="00C86727">
        <w:rPr>
          <w:rFonts w:cs="Times New Roman"/>
          <w:lang w:val="en-GB"/>
        </w:rPr>
        <w:t>m</w:t>
      </w:r>
      <w:r w:rsidR="00D834F2" w:rsidRPr="006329B6">
        <w:rPr>
          <w:rFonts w:cs="Times New Roman"/>
          <w:lang w:val="en-GB"/>
        </w:rPr>
        <w:t xml:space="preserve">ore funding </w:t>
      </w:r>
      <w:r w:rsidR="006329B6" w:rsidRPr="006329B6">
        <w:rPr>
          <w:rFonts w:cs="Times New Roman"/>
          <w:lang w:val="en-GB"/>
        </w:rPr>
        <w:t xml:space="preserve">to </w:t>
      </w:r>
      <w:r w:rsidR="006329B6">
        <w:rPr>
          <w:rFonts w:cs="Times New Roman"/>
          <w:lang w:val="en-GB"/>
        </w:rPr>
        <w:t xml:space="preserve">finance </w:t>
      </w:r>
      <w:r w:rsidR="006329B6" w:rsidRPr="006329B6">
        <w:rPr>
          <w:rFonts w:cs="Times New Roman"/>
          <w:lang w:val="en-GB"/>
        </w:rPr>
        <w:t xml:space="preserve">deep-decarbonisation options like </w:t>
      </w:r>
      <w:r>
        <w:rPr>
          <w:rFonts w:cs="Times New Roman"/>
          <w:lang w:val="en-GB"/>
        </w:rPr>
        <w:t>C</w:t>
      </w:r>
      <w:r w:rsidR="006329B6" w:rsidRPr="006329B6">
        <w:rPr>
          <w:rFonts w:cs="Times New Roman"/>
          <w:lang w:val="en-GB"/>
        </w:rPr>
        <w:t>arbon</w:t>
      </w:r>
      <w:r>
        <w:rPr>
          <w:rFonts w:cs="Times New Roman"/>
          <w:lang w:val="en-GB"/>
        </w:rPr>
        <w:t xml:space="preserve"> C</w:t>
      </w:r>
      <w:r w:rsidR="006329B6" w:rsidRPr="006329B6">
        <w:rPr>
          <w:rFonts w:cs="Times New Roman"/>
          <w:lang w:val="en-GB"/>
        </w:rPr>
        <w:t>apture</w:t>
      </w:r>
      <w:r>
        <w:rPr>
          <w:rFonts w:cs="Times New Roman"/>
          <w:lang w:val="en-GB"/>
        </w:rPr>
        <w:t xml:space="preserve"> and Storage</w:t>
      </w:r>
      <w:r w:rsidR="006329B6">
        <w:rPr>
          <w:rFonts w:cs="Times New Roman"/>
          <w:lang w:val="en-GB"/>
        </w:rPr>
        <w:t xml:space="preserve"> </w:t>
      </w:r>
      <w:r w:rsidR="00D834F2" w:rsidRPr="006329B6">
        <w:rPr>
          <w:rFonts w:cs="Times New Roman"/>
          <w:lang w:val="en-GB"/>
        </w:rPr>
        <w:t>through the Innovation Fund and</w:t>
      </w:r>
      <w:r w:rsidR="006329B6">
        <w:rPr>
          <w:rFonts w:cs="Times New Roman"/>
          <w:lang w:val="en-GB"/>
        </w:rPr>
        <w:t xml:space="preserve"> other EU-level support channels,</w:t>
      </w:r>
      <w:r w:rsidR="00D834F2" w:rsidRPr="006329B6">
        <w:rPr>
          <w:rFonts w:cs="Times New Roman"/>
          <w:lang w:val="en-GB"/>
        </w:rPr>
        <w:t xml:space="preserve"> </w:t>
      </w:r>
      <w:r w:rsidR="006329B6">
        <w:rPr>
          <w:rFonts w:cs="Times New Roman"/>
          <w:lang w:val="en-GB"/>
        </w:rPr>
        <w:t xml:space="preserve">as well as </w:t>
      </w:r>
      <w:r w:rsidR="00D834F2" w:rsidRPr="006329B6">
        <w:rPr>
          <w:rFonts w:cs="Times New Roman"/>
          <w:lang w:val="en-GB"/>
        </w:rPr>
        <w:t xml:space="preserve">recycling ETS auction revenues </w:t>
      </w:r>
      <w:r w:rsidR="006329B6">
        <w:rPr>
          <w:rFonts w:cs="Times New Roman"/>
          <w:lang w:val="en-GB"/>
        </w:rPr>
        <w:t>at the level of Member States</w:t>
      </w:r>
      <w:r w:rsidR="00D834F2" w:rsidRPr="006329B6">
        <w:rPr>
          <w:rFonts w:cs="Times New Roman"/>
          <w:lang w:val="en-GB"/>
        </w:rPr>
        <w:t xml:space="preserve">. </w:t>
      </w:r>
    </w:p>
    <w:p w14:paraId="0B76DA54" w14:textId="77777777" w:rsidR="00443FCC" w:rsidRPr="006329B6" w:rsidRDefault="00443FCC" w:rsidP="00443FCC">
      <w:pPr>
        <w:pStyle w:val="NoSpacing"/>
        <w:rPr>
          <w:rFonts w:cs="Times New Roman"/>
          <w:lang w:val="en-GB"/>
        </w:rPr>
      </w:pPr>
    </w:p>
    <w:p w14:paraId="1B3BFCC6" w14:textId="23A5ACB3" w:rsidR="00443FCC" w:rsidRPr="006329B6" w:rsidRDefault="00443FCC" w:rsidP="00443FCC">
      <w:pPr>
        <w:pStyle w:val="NoSpacing"/>
        <w:rPr>
          <w:rFonts w:cs="Times New Roman"/>
          <w:lang w:val="en-GB"/>
        </w:rPr>
      </w:pPr>
      <w:r w:rsidRPr="002263EF">
        <w:rPr>
          <w:rFonts w:cs="Times New Roman"/>
          <w:b/>
          <w:lang w:val="en-GB"/>
        </w:rPr>
        <w:t>Alex Luta, Campaigner &amp; Policy</w:t>
      </w:r>
      <w:r w:rsidR="00D26AB0" w:rsidRPr="002263EF">
        <w:rPr>
          <w:rFonts w:cs="Times New Roman"/>
          <w:b/>
          <w:lang w:val="en-GB"/>
        </w:rPr>
        <w:t xml:space="preserve"> Analyst at Sandbag</w:t>
      </w:r>
      <w:r w:rsidR="00D26AB0" w:rsidRPr="006329B6">
        <w:rPr>
          <w:rFonts w:cs="Times New Roman"/>
          <w:lang w:val="en-GB"/>
        </w:rPr>
        <w:t>, commented:</w:t>
      </w:r>
    </w:p>
    <w:p w14:paraId="1B56436E" w14:textId="74925D30" w:rsidR="00861A92" w:rsidRDefault="00443FCC" w:rsidP="00443FCC">
      <w:pPr>
        <w:pStyle w:val="NoSpacing"/>
        <w:rPr>
          <w:rFonts w:cs="Times New Roman"/>
        </w:rPr>
      </w:pPr>
      <w:r w:rsidRPr="006329B6">
        <w:rPr>
          <w:rFonts w:cs="Times New Roman"/>
          <w:lang w:val="en-GB"/>
        </w:rPr>
        <w:t>“</w:t>
      </w:r>
      <w:r w:rsidR="00B244FD" w:rsidRPr="006329B6">
        <w:rPr>
          <w:rFonts w:cs="Times New Roman"/>
          <w:i/>
          <w:lang w:val="en-GB"/>
        </w:rPr>
        <w:t xml:space="preserve">The EU ETS, far from </w:t>
      </w:r>
      <w:r w:rsidR="00861A92" w:rsidRPr="006329B6">
        <w:rPr>
          <w:rFonts w:cs="Times New Roman"/>
          <w:i/>
          <w:lang w:val="en-GB"/>
        </w:rPr>
        <w:t>decarboni</w:t>
      </w:r>
      <w:r w:rsidR="00320162" w:rsidRPr="006329B6">
        <w:rPr>
          <w:rFonts w:cs="Times New Roman"/>
          <w:i/>
          <w:lang w:val="en-GB"/>
        </w:rPr>
        <w:t>s</w:t>
      </w:r>
      <w:r w:rsidR="00B244FD" w:rsidRPr="006329B6">
        <w:rPr>
          <w:rFonts w:cs="Times New Roman"/>
          <w:i/>
          <w:lang w:val="en-GB"/>
        </w:rPr>
        <w:t>ing</w:t>
      </w:r>
      <w:r w:rsidR="00861A92" w:rsidRPr="006329B6">
        <w:rPr>
          <w:rFonts w:cs="Times New Roman"/>
          <w:i/>
          <w:lang w:val="en-GB"/>
        </w:rPr>
        <w:t xml:space="preserve"> the cement sector</w:t>
      </w:r>
      <w:r w:rsidR="00B244FD" w:rsidRPr="006329B6">
        <w:rPr>
          <w:rFonts w:cs="Times New Roman"/>
          <w:i/>
          <w:lang w:val="en-GB"/>
        </w:rPr>
        <w:t xml:space="preserve">, is actually </w:t>
      </w:r>
      <w:r w:rsidR="00320162">
        <w:rPr>
          <w:rFonts w:cs="Times New Roman"/>
          <w:i/>
          <w:lang w:val="en-GB"/>
        </w:rPr>
        <w:t xml:space="preserve">leading to </w:t>
      </w:r>
      <w:r w:rsidR="00B244FD" w:rsidRPr="006329B6">
        <w:rPr>
          <w:rFonts w:cs="Times New Roman"/>
          <w:i/>
          <w:lang w:val="en-GB"/>
        </w:rPr>
        <w:t>higher emissions</w:t>
      </w:r>
      <w:r w:rsidR="00D26AB0" w:rsidRPr="006329B6">
        <w:rPr>
          <w:rFonts w:cs="Times New Roman"/>
          <w:i/>
          <w:lang w:val="en-GB"/>
        </w:rPr>
        <w:t xml:space="preserve">. </w:t>
      </w:r>
      <w:r w:rsidR="00320162">
        <w:rPr>
          <w:rFonts w:cs="Times New Roman"/>
          <w:i/>
          <w:lang w:val="en-GB"/>
        </w:rPr>
        <w:t xml:space="preserve">Substantial </w:t>
      </w:r>
      <w:r w:rsidR="00D26AB0" w:rsidRPr="006329B6">
        <w:rPr>
          <w:rFonts w:cs="Times New Roman"/>
          <w:i/>
          <w:lang w:val="en-GB"/>
        </w:rPr>
        <w:t xml:space="preserve">changes </w:t>
      </w:r>
      <w:r w:rsidR="00DB1D3B" w:rsidRPr="006329B6">
        <w:rPr>
          <w:rFonts w:cs="Times New Roman"/>
          <w:i/>
          <w:lang w:val="en-GB"/>
        </w:rPr>
        <w:t>are urgently needed</w:t>
      </w:r>
      <w:r w:rsidR="00D26AB0" w:rsidRPr="006329B6">
        <w:rPr>
          <w:rFonts w:cs="Times New Roman"/>
          <w:i/>
          <w:lang w:val="en-GB"/>
        </w:rPr>
        <w:t xml:space="preserve">.  </w:t>
      </w:r>
      <w:r w:rsidR="007F71B2">
        <w:rPr>
          <w:rFonts w:cs="Times New Roman"/>
          <w:i/>
          <w:lang w:val="en-GB"/>
        </w:rPr>
        <w:t>The best thing to do would be to have more ambitio</w:t>
      </w:r>
      <w:r w:rsidR="00C86727">
        <w:rPr>
          <w:rFonts w:cs="Times New Roman"/>
          <w:i/>
          <w:lang w:val="en-GB"/>
        </w:rPr>
        <w:t>us climate targets</w:t>
      </w:r>
      <w:r w:rsidR="007F71B2">
        <w:rPr>
          <w:rFonts w:cs="Times New Roman"/>
          <w:i/>
          <w:lang w:val="en-GB"/>
        </w:rPr>
        <w:t xml:space="preserve"> and a higher carbon </w:t>
      </w:r>
      <w:r w:rsidR="00C86727">
        <w:rPr>
          <w:rFonts w:cs="Times New Roman"/>
          <w:i/>
          <w:lang w:val="en-GB"/>
        </w:rPr>
        <w:t>p</w:t>
      </w:r>
      <w:r w:rsidR="007F71B2">
        <w:rPr>
          <w:rFonts w:cs="Times New Roman"/>
          <w:i/>
          <w:lang w:val="en-GB"/>
        </w:rPr>
        <w:t xml:space="preserve">rice. Policymakers should eliminate </w:t>
      </w:r>
      <w:r w:rsidR="007F71B2" w:rsidRPr="006329B6">
        <w:rPr>
          <w:rFonts w:cs="Times New Roman"/>
          <w:i/>
          <w:lang w:val="en-GB"/>
        </w:rPr>
        <w:t xml:space="preserve">perverse incentives </w:t>
      </w:r>
      <w:r w:rsidR="007F71B2">
        <w:rPr>
          <w:rFonts w:cs="Times New Roman"/>
          <w:i/>
          <w:lang w:val="en-GB"/>
        </w:rPr>
        <w:t xml:space="preserve">rewarding </w:t>
      </w:r>
      <w:r w:rsidR="007F71B2">
        <w:rPr>
          <w:rFonts w:cs="Times New Roman"/>
          <w:i/>
        </w:rPr>
        <w:t xml:space="preserve">over-production with </w:t>
      </w:r>
      <w:r w:rsidR="007F71B2">
        <w:rPr>
          <w:rFonts w:cs="Times New Roman"/>
          <w:i/>
          <w:lang w:val="en-GB"/>
        </w:rPr>
        <w:t xml:space="preserve">free allocation. </w:t>
      </w:r>
      <w:r w:rsidR="00C86727">
        <w:rPr>
          <w:rFonts w:cs="Times New Roman"/>
          <w:i/>
          <w:lang w:val="en-GB"/>
        </w:rPr>
        <w:t>C</w:t>
      </w:r>
      <w:r w:rsidR="00320162">
        <w:rPr>
          <w:rFonts w:cs="Times New Roman"/>
          <w:i/>
          <w:lang w:val="en-GB"/>
        </w:rPr>
        <w:t xml:space="preserve">ement </w:t>
      </w:r>
      <w:r w:rsidR="00C86727">
        <w:rPr>
          <w:rFonts w:cs="Times New Roman"/>
          <w:i/>
          <w:lang w:val="en-GB"/>
        </w:rPr>
        <w:t>must no longer</w:t>
      </w:r>
      <w:r w:rsidR="007F71B2">
        <w:rPr>
          <w:rFonts w:cs="Times New Roman"/>
          <w:i/>
          <w:lang w:val="en-GB"/>
        </w:rPr>
        <w:t xml:space="preserve"> </w:t>
      </w:r>
      <w:r w:rsidR="00320162">
        <w:rPr>
          <w:rFonts w:cs="Times New Roman"/>
          <w:i/>
          <w:lang w:val="en-GB"/>
        </w:rPr>
        <w:t>more allowances than it needs relative to other sectors</w:t>
      </w:r>
      <w:r w:rsidR="007F71B2">
        <w:rPr>
          <w:rFonts w:cs="Times New Roman"/>
          <w:i/>
          <w:lang w:val="en-GB"/>
        </w:rPr>
        <w:t xml:space="preserve">; instead, it should receive substantial support for </w:t>
      </w:r>
      <w:r w:rsidR="00025E95">
        <w:rPr>
          <w:rFonts w:cs="Times New Roman"/>
          <w:i/>
          <w:lang w:val="en-GB"/>
        </w:rPr>
        <w:t xml:space="preserve">the development of </w:t>
      </w:r>
      <w:r w:rsidR="00D26AB0" w:rsidRPr="006329B6">
        <w:rPr>
          <w:rFonts w:cs="Times New Roman"/>
          <w:i/>
          <w:lang w:val="en-GB"/>
        </w:rPr>
        <w:t xml:space="preserve">deep-decarbonisation </w:t>
      </w:r>
      <w:r w:rsidR="00025E95">
        <w:rPr>
          <w:rFonts w:cs="Times New Roman"/>
          <w:i/>
          <w:lang w:val="en-GB"/>
        </w:rPr>
        <w:t>technologies</w:t>
      </w:r>
      <w:r w:rsidR="00D26AB0" w:rsidRPr="006329B6">
        <w:rPr>
          <w:rFonts w:cs="Times New Roman"/>
        </w:rPr>
        <w:t>.”</w:t>
      </w:r>
    </w:p>
    <w:p w14:paraId="25D47F6A" w14:textId="7CF1FAB9" w:rsidR="009A1EF6" w:rsidRDefault="009A1EF6" w:rsidP="00443FCC">
      <w:pPr>
        <w:pStyle w:val="NoSpacing"/>
        <w:rPr>
          <w:rFonts w:cs="Times New Roman"/>
        </w:rPr>
      </w:pPr>
    </w:p>
    <w:p w14:paraId="6A2C8F27" w14:textId="2D77B700" w:rsidR="00C86727" w:rsidRDefault="00523F9E" w:rsidP="00443FCC">
      <w:pPr>
        <w:pStyle w:val="NoSpacing"/>
        <w:rPr>
          <w:rFonts w:cs="Times New Roman"/>
        </w:rPr>
      </w:pPr>
      <w:hyperlink r:id="rId10" w:history="1">
        <w:r w:rsidR="00C86727" w:rsidRPr="00C86727">
          <w:rPr>
            <w:rStyle w:val="Hyperlink"/>
            <w:rFonts w:cs="Times New Roman"/>
          </w:rPr>
          <w:t>Read the report here</w:t>
        </w:r>
      </w:hyperlink>
    </w:p>
    <w:p w14:paraId="2FD515B8" w14:textId="77777777" w:rsidR="00C86727" w:rsidRDefault="00C86727" w:rsidP="00443FCC">
      <w:pPr>
        <w:pStyle w:val="NoSpacing"/>
        <w:rPr>
          <w:rFonts w:cs="Times New Roman"/>
        </w:rPr>
      </w:pPr>
    </w:p>
    <w:p w14:paraId="08440CEC" w14:textId="77777777" w:rsidR="005E50A1" w:rsidRPr="006329B6" w:rsidRDefault="005E50A1" w:rsidP="005E50A1">
      <w:pPr>
        <w:pStyle w:val="NoSpacing"/>
        <w:rPr>
          <w:rFonts w:cs="Times New Roman"/>
          <w:b/>
          <w:i/>
        </w:rPr>
      </w:pPr>
      <w:r w:rsidRPr="006329B6">
        <w:rPr>
          <w:rFonts w:cs="Times New Roman"/>
          <w:b/>
          <w:i/>
        </w:rPr>
        <w:t xml:space="preserve">Register for the European Parliament event on Wednesday 16th March, 13.00, </w:t>
      </w:r>
      <w:hyperlink r:id="rId11" w:history="1">
        <w:r w:rsidRPr="006329B6">
          <w:rPr>
            <w:rFonts w:cs="Times New Roman"/>
            <w:b/>
            <w:i/>
            <w:color w:val="1155CC"/>
            <w:u w:val="single"/>
          </w:rPr>
          <w:t>here</w:t>
        </w:r>
      </w:hyperlink>
      <w:r w:rsidRPr="006329B6">
        <w:rPr>
          <w:rFonts w:cs="Times New Roman"/>
          <w:b/>
          <w:i/>
        </w:rPr>
        <w:t>.</w:t>
      </w:r>
    </w:p>
    <w:p w14:paraId="35B0754E" w14:textId="77777777" w:rsidR="005E50A1" w:rsidRPr="006329B6" w:rsidRDefault="005E50A1" w:rsidP="005E50A1">
      <w:pPr>
        <w:pStyle w:val="NoSpacing"/>
        <w:rPr>
          <w:rFonts w:cs="Times New Roman"/>
        </w:rPr>
      </w:pPr>
    </w:p>
    <w:p w14:paraId="4D90F452" w14:textId="77777777" w:rsidR="005E50A1" w:rsidRPr="006329B6" w:rsidRDefault="005E50A1" w:rsidP="005E50A1">
      <w:pPr>
        <w:pStyle w:val="NoSpacing"/>
        <w:rPr>
          <w:rFonts w:cs="Times New Roman"/>
        </w:rPr>
      </w:pPr>
      <w:r w:rsidRPr="006329B6">
        <w:rPr>
          <w:rFonts w:cs="Times New Roman"/>
        </w:rPr>
        <w:t>Speaker details:</w:t>
      </w:r>
    </w:p>
    <w:p w14:paraId="4CF9D677" w14:textId="77777777" w:rsidR="005E50A1" w:rsidRPr="006329B6" w:rsidRDefault="005E50A1" w:rsidP="005E50A1">
      <w:pPr>
        <w:pStyle w:val="NoSpacing"/>
        <w:rPr>
          <w:rFonts w:cs="Times New Roman"/>
        </w:rPr>
      </w:pPr>
      <w:r w:rsidRPr="006329B6">
        <w:rPr>
          <w:rFonts w:cs="Times New Roman"/>
        </w:rPr>
        <w:t>13:00 Welcome by Mr Peter Liese MEP, EPP</w:t>
      </w:r>
    </w:p>
    <w:p w14:paraId="27A5638E" w14:textId="77777777" w:rsidR="005E50A1" w:rsidRPr="00A91114" w:rsidRDefault="005E50A1" w:rsidP="005E50A1">
      <w:pPr>
        <w:pStyle w:val="NoSpacing"/>
        <w:rPr>
          <w:rFonts w:cs="Times New Roman"/>
          <w:lang w:val="en-GB"/>
        </w:rPr>
      </w:pPr>
      <w:r w:rsidRPr="006329B6">
        <w:rPr>
          <w:rFonts w:cs="Times New Roman"/>
        </w:rPr>
        <w:t>13:10 Alex Luta,</w:t>
      </w:r>
      <w:r>
        <w:rPr>
          <w:rFonts w:cs="Times New Roman"/>
          <w:lang w:val="en-GB"/>
        </w:rPr>
        <w:t xml:space="preserve"> </w:t>
      </w:r>
      <w:r w:rsidRPr="00A91114">
        <w:rPr>
          <w:rFonts w:cs="Times New Roman"/>
          <w:lang w:val="en-GB"/>
        </w:rPr>
        <w:t>Sandbag</w:t>
      </w:r>
    </w:p>
    <w:p w14:paraId="0EE90DA3" w14:textId="77777777" w:rsidR="005E50A1" w:rsidRPr="00A91114" w:rsidRDefault="005E50A1" w:rsidP="005E50A1">
      <w:pPr>
        <w:pStyle w:val="NoSpacing"/>
        <w:rPr>
          <w:rFonts w:cs="Times New Roman"/>
          <w:lang w:val="en-GB"/>
        </w:rPr>
      </w:pPr>
      <w:r w:rsidRPr="00A91114">
        <w:rPr>
          <w:rFonts w:cs="Times New Roman"/>
          <w:lang w:val="en-GB"/>
        </w:rPr>
        <w:t>13:25 Claude Loréa, CEMBUREAU</w:t>
      </w:r>
    </w:p>
    <w:p w14:paraId="1DBCF1E5" w14:textId="77777777" w:rsidR="005E50A1" w:rsidRPr="00A91114" w:rsidRDefault="005E50A1" w:rsidP="005E50A1">
      <w:pPr>
        <w:pStyle w:val="NoSpacing"/>
        <w:rPr>
          <w:rFonts w:cs="Times New Roman"/>
          <w:lang w:val="en-GB"/>
        </w:rPr>
      </w:pPr>
      <w:r w:rsidRPr="00A91114">
        <w:rPr>
          <w:rFonts w:cs="Times New Roman"/>
          <w:lang w:val="en-GB"/>
        </w:rPr>
        <w:t>13:40 Donal O'Riain, Ecocem</w:t>
      </w:r>
    </w:p>
    <w:p w14:paraId="7498A333" w14:textId="77777777" w:rsidR="005E50A1" w:rsidRPr="00A91114" w:rsidRDefault="005E50A1" w:rsidP="005E50A1">
      <w:pPr>
        <w:pStyle w:val="NoSpacing"/>
        <w:rPr>
          <w:rFonts w:cs="Times New Roman"/>
          <w:lang w:val="en-GB"/>
        </w:rPr>
      </w:pPr>
      <w:r w:rsidRPr="00A91114">
        <w:rPr>
          <w:rFonts w:cs="Times New Roman"/>
          <w:lang w:val="en-GB"/>
        </w:rPr>
        <w:t>13:55 Rob Van der Meer, HeidelbergCement</w:t>
      </w:r>
    </w:p>
    <w:p w14:paraId="1EB9C088" w14:textId="77777777" w:rsidR="005E50A1" w:rsidRPr="00A91114" w:rsidRDefault="005E50A1" w:rsidP="005E50A1">
      <w:pPr>
        <w:pStyle w:val="NoSpacing"/>
        <w:rPr>
          <w:rFonts w:cs="Times New Roman"/>
          <w:lang w:val="en-GB"/>
        </w:rPr>
      </w:pPr>
      <w:r w:rsidRPr="00A91114">
        <w:rPr>
          <w:rFonts w:cs="Times New Roman"/>
          <w:lang w:val="en-GB"/>
        </w:rPr>
        <w:t>14:10 Panel Discussion and Q&amp;A</w:t>
      </w:r>
    </w:p>
    <w:p w14:paraId="571BF58D" w14:textId="77777777" w:rsidR="005E50A1" w:rsidRPr="006329B6" w:rsidRDefault="005E50A1" w:rsidP="005E50A1">
      <w:pPr>
        <w:pStyle w:val="NoSpacing"/>
        <w:rPr>
          <w:rFonts w:cs="Times New Roman"/>
        </w:rPr>
      </w:pPr>
      <w:r>
        <w:rPr>
          <w:rFonts w:cs="Times New Roman"/>
          <w:lang w:val="en-GB"/>
        </w:rPr>
        <w:t xml:space="preserve"> </w:t>
      </w:r>
    </w:p>
    <w:p w14:paraId="66A7FB63" w14:textId="77777777" w:rsidR="005E50A1" w:rsidRDefault="005E50A1" w:rsidP="005E50A1">
      <w:pPr>
        <w:pStyle w:val="NoSpacing"/>
        <w:rPr>
          <w:rFonts w:cs="Times New Roman"/>
          <w:lang w:val="en-GB"/>
        </w:rPr>
      </w:pPr>
      <w:r w:rsidRPr="00A91114">
        <w:rPr>
          <w:rFonts w:cs="Times New Roman"/>
          <w:lang w:val="en-GB"/>
        </w:rPr>
        <w:t>ENDS</w:t>
      </w:r>
    </w:p>
    <w:p w14:paraId="5C0D60B6" w14:textId="77777777" w:rsidR="005E50A1" w:rsidRDefault="005E50A1" w:rsidP="00443FCC">
      <w:pPr>
        <w:pStyle w:val="NoSpacing"/>
        <w:rPr>
          <w:rFonts w:cs="Times New Roman"/>
        </w:rPr>
      </w:pPr>
    </w:p>
    <w:p w14:paraId="0A7517F8" w14:textId="77777777" w:rsidR="005E50A1" w:rsidRDefault="005E50A1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14:paraId="4B2FB873" w14:textId="16565E87" w:rsidR="00E15ED9" w:rsidRPr="00BF0519" w:rsidRDefault="00E15ED9" w:rsidP="00E15ED9">
      <w:pPr>
        <w:pStyle w:val="NoSpacing"/>
        <w:rPr>
          <w:rFonts w:cs="Times New Roman"/>
          <w:b/>
          <w:lang w:val="en-GB"/>
        </w:rPr>
      </w:pPr>
      <w:r w:rsidRPr="00BF0519">
        <w:rPr>
          <w:rFonts w:cs="Times New Roman"/>
          <w:b/>
          <w:lang w:val="en-GB"/>
        </w:rPr>
        <w:lastRenderedPageBreak/>
        <w:t>Notes to editors</w:t>
      </w:r>
    </w:p>
    <w:p w14:paraId="00C3EF1E" w14:textId="77777777" w:rsidR="00E15ED9" w:rsidRDefault="00E15ED9" w:rsidP="00E15ED9">
      <w:pPr>
        <w:pStyle w:val="NoSpacing"/>
        <w:rPr>
          <w:rFonts w:cs="Times New Roman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BF0519" w:rsidRPr="00B5792A" w14:paraId="5A0CD50C" w14:textId="77777777" w:rsidTr="00BF0519">
        <w:tc>
          <w:tcPr>
            <w:tcW w:w="4675" w:type="dxa"/>
          </w:tcPr>
          <w:p w14:paraId="118706AF" w14:textId="0D9967DF" w:rsidR="00BF0519" w:rsidRPr="00B5792A" w:rsidRDefault="00BF0519" w:rsidP="00CA2909">
            <w:pPr>
              <w:pStyle w:val="NoSpacing"/>
              <w:rPr>
                <w:lang w:val="en-GB"/>
              </w:rPr>
            </w:pPr>
            <w:bookmarkStart w:id="1" w:name="_Ref440841233"/>
            <w:bookmarkStart w:id="2" w:name="_Ref440843277"/>
            <w:r>
              <w:rPr>
                <w:noProof/>
                <w:lang w:val="en-GB" w:eastAsia="en-GB"/>
              </w:rPr>
              <w:drawing>
                <wp:inline distT="0" distB="0" distL="0" distR="0" wp14:anchorId="51328298" wp14:editId="406F548F">
                  <wp:extent cx="2831465" cy="2828039"/>
                  <wp:effectExtent l="0" t="0" r="6985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14:paraId="0418308F" w14:textId="6DBAD053" w:rsidR="00BF0519" w:rsidRPr="00B5792A" w:rsidRDefault="00BF0519" w:rsidP="00CA2909">
            <w:pPr>
              <w:pStyle w:val="NoSpacing"/>
              <w:rPr>
                <w:lang w:val="en-GB"/>
              </w:rPr>
            </w:pPr>
            <w:bookmarkStart w:id="3" w:name="_Ref444760282"/>
            <w:r w:rsidRPr="00B5792A">
              <w:rPr>
                <w:lang w:val="en-GB"/>
              </w:rPr>
              <w:t xml:space="preserve">Figure </w:t>
            </w:r>
            <w:r w:rsidRPr="00A85C4F">
              <w:rPr>
                <w:lang w:val="en-GB"/>
              </w:rPr>
              <w:fldChar w:fldCharType="begin"/>
            </w:r>
            <w:r w:rsidRPr="00B5792A">
              <w:rPr>
                <w:lang w:val="en-GB"/>
              </w:rPr>
              <w:instrText xml:space="preserve"> SEQ Figure \* ARABIC </w:instrText>
            </w:r>
            <w:r w:rsidRPr="00A85C4F">
              <w:rPr>
                <w:lang w:val="en-GB"/>
              </w:rPr>
              <w:fldChar w:fldCharType="separate"/>
            </w:r>
            <w:r w:rsidR="00855C69">
              <w:rPr>
                <w:noProof/>
                <w:lang w:val="en-GB"/>
              </w:rPr>
              <w:t>1</w:t>
            </w:r>
            <w:r w:rsidRPr="00A85C4F">
              <w:rPr>
                <w:lang w:val="en-GB"/>
              </w:rPr>
              <w:fldChar w:fldCharType="end"/>
            </w:r>
            <w:bookmarkEnd w:id="1"/>
            <w:bookmarkEnd w:id="3"/>
            <w:r w:rsidRPr="00B5792A">
              <w:rPr>
                <w:lang w:val="en-GB"/>
              </w:rPr>
              <w:t>: Expected development of allowance surpluses for major industrial sectors until the end of Phase 3.</w:t>
            </w:r>
            <w:bookmarkEnd w:id="2"/>
          </w:p>
        </w:tc>
        <w:tc>
          <w:tcPr>
            <w:tcW w:w="4675" w:type="dxa"/>
          </w:tcPr>
          <w:p w14:paraId="2F0B8E48" w14:textId="77777777" w:rsidR="00BF0519" w:rsidRPr="00A85C4F" w:rsidRDefault="00BF0519" w:rsidP="00CA2909">
            <w:pPr>
              <w:pStyle w:val="NoSpacing"/>
              <w:keepNext/>
              <w:rPr>
                <w:lang w:val="en-GB"/>
              </w:rPr>
            </w:pPr>
            <w:r w:rsidRPr="00A85C4F">
              <w:rPr>
                <w:noProof/>
                <w:lang w:val="en-GB" w:eastAsia="en-GB"/>
              </w:rPr>
              <w:drawing>
                <wp:inline distT="0" distB="0" distL="0" distR="0" wp14:anchorId="09AC7E78" wp14:editId="480397C7">
                  <wp:extent cx="2923540" cy="2827655"/>
                  <wp:effectExtent l="0" t="0" r="0" b="0"/>
                  <wp:docPr id="11" name="Chart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14:paraId="695E19B3" w14:textId="50AA1CD7" w:rsidR="00BF0519" w:rsidRPr="00B5792A" w:rsidRDefault="00BF0519" w:rsidP="00CA2909">
            <w:pPr>
              <w:pStyle w:val="NoSpacing"/>
              <w:rPr>
                <w:lang w:val="en-GB"/>
              </w:rPr>
            </w:pPr>
            <w:bookmarkStart w:id="4" w:name="_Ref445303654"/>
            <w:r w:rsidRPr="00A85C4F">
              <w:rPr>
                <w:lang w:val="en-GB"/>
              </w:rPr>
              <w:t xml:space="preserve">Figure </w:t>
            </w:r>
            <w:r w:rsidRPr="00A85C4F">
              <w:rPr>
                <w:lang w:val="en-GB"/>
              </w:rPr>
              <w:fldChar w:fldCharType="begin"/>
            </w:r>
            <w:r w:rsidRPr="00A85C4F">
              <w:rPr>
                <w:lang w:val="en-GB"/>
              </w:rPr>
              <w:instrText xml:space="preserve"> SEQ Figure \* ARABIC </w:instrText>
            </w:r>
            <w:r w:rsidRPr="00A85C4F">
              <w:rPr>
                <w:lang w:val="en-GB"/>
              </w:rPr>
              <w:fldChar w:fldCharType="separate"/>
            </w:r>
            <w:r w:rsidR="00855C69">
              <w:rPr>
                <w:noProof/>
                <w:lang w:val="en-GB"/>
              </w:rPr>
              <w:t>2</w:t>
            </w:r>
            <w:r w:rsidRPr="00A85C4F">
              <w:rPr>
                <w:noProof/>
                <w:lang w:val="en-GB"/>
              </w:rPr>
              <w:fldChar w:fldCharType="end"/>
            </w:r>
            <w:bookmarkEnd w:id="4"/>
            <w:r w:rsidRPr="00A85C4F">
              <w:rPr>
                <w:lang w:val="en-GB"/>
              </w:rPr>
              <w:t xml:space="preserve">: </w:t>
            </w:r>
            <w:r w:rsidRPr="00B5792A">
              <w:rPr>
                <w:lang w:val="en-GB"/>
              </w:rPr>
              <w:t>Estimated scale of allowance surpluses by end of Phase 3 for the five largest cement manufacturers of 2014.</w:t>
            </w:r>
          </w:p>
        </w:tc>
      </w:tr>
      <w:tr w:rsidR="00BF0519" w:rsidRPr="00B5792A" w14:paraId="0E2CA8D9" w14:textId="77777777" w:rsidTr="00CA2909">
        <w:tc>
          <w:tcPr>
            <w:tcW w:w="4675" w:type="dxa"/>
          </w:tcPr>
          <w:p w14:paraId="39561237" w14:textId="77777777" w:rsidR="00BF0519" w:rsidRPr="00B5792A" w:rsidRDefault="00BF0519" w:rsidP="00CA2909">
            <w:pPr>
              <w:pStyle w:val="NoSpacing"/>
              <w:rPr>
                <w:lang w:val="en-GB"/>
              </w:rPr>
            </w:pPr>
            <w:r w:rsidRPr="00B5792A">
              <w:rPr>
                <w:lang w:val="en-GB"/>
              </w:rPr>
              <w:t>Source: EUTL (Sandbag calculations)</w:t>
            </w:r>
          </w:p>
        </w:tc>
        <w:tc>
          <w:tcPr>
            <w:tcW w:w="4675" w:type="dxa"/>
          </w:tcPr>
          <w:p w14:paraId="36058E30" w14:textId="77777777" w:rsidR="00BF0519" w:rsidRPr="00B5792A" w:rsidRDefault="00BF0519" w:rsidP="00CA2909">
            <w:pPr>
              <w:pStyle w:val="NoSpacing"/>
              <w:rPr>
                <w:lang w:val="en-GB"/>
              </w:rPr>
            </w:pPr>
            <w:r w:rsidRPr="00B5792A">
              <w:rPr>
                <w:lang w:val="en-GB"/>
              </w:rPr>
              <w:t>Source: EUTL (Sandbag calculations)</w:t>
            </w:r>
          </w:p>
        </w:tc>
      </w:tr>
    </w:tbl>
    <w:p w14:paraId="32C7D576" w14:textId="64BF2A41" w:rsidR="00E15ED9" w:rsidRPr="00A91114" w:rsidRDefault="00E15ED9" w:rsidP="00E15ED9">
      <w:pPr>
        <w:pStyle w:val="NoSpacing"/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 </w:t>
      </w:r>
    </w:p>
    <w:p w14:paraId="49DB42D8" w14:textId="2E0DEBCE" w:rsidR="00E15ED9" w:rsidRDefault="00E15ED9" w:rsidP="00443FCC">
      <w:pPr>
        <w:pStyle w:val="NoSpacing"/>
        <w:rPr>
          <w:rFonts w:cs="Times New Roman"/>
          <w:b/>
          <w:i/>
        </w:rPr>
      </w:pPr>
    </w:p>
    <w:p w14:paraId="40AAC0DD" w14:textId="77777777" w:rsidR="005E50A1" w:rsidRPr="000E1D78" w:rsidRDefault="005E50A1" w:rsidP="005E50A1">
      <w:pPr>
        <w:pStyle w:val="NoSpacing"/>
        <w:rPr>
          <w:rFonts w:cs="Times New Roman"/>
          <w:lang w:val="en-GB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917"/>
        <w:gridCol w:w="1858"/>
        <w:gridCol w:w="1859"/>
        <w:gridCol w:w="1858"/>
        <w:gridCol w:w="1859"/>
      </w:tblGrid>
      <w:tr w:rsidR="005E50A1" w:rsidRPr="00320162" w14:paraId="290296D5" w14:textId="77777777" w:rsidTr="0039506C">
        <w:trPr>
          <w:trHeight w:val="300"/>
        </w:trPr>
        <w:tc>
          <w:tcPr>
            <w:tcW w:w="1917" w:type="dxa"/>
            <w:vMerge w:val="restart"/>
            <w:noWrap/>
            <w:hideMark/>
          </w:tcPr>
          <w:p w14:paraId="71B5C190" w14:textId="77777777" w:rsidR="005E50A1" w:rsidRPr="00320162" w:rsidRDefault="005E50A1" w:rsidP="0039506C">
            <w:pPr>
              <w:pStyle w:val="NoSpacing"/>
              <w:rPr>
                <w:lang w:val="en-GB"/>
              </w:rPr>
            </w:pPr>
            <w:r w:rsidRPr="00320162">
              <w:rPr>
                <w:lang w:val="en-GB"/>
              </w:rPr>
              <w:t>Company</w:t>
            </w:r>
          </w:p>
        </w:tc>
        <w:tc>
          <w:tcPr>
            <w:tcW w:w="1858" w:type="dxa"/>
            <w:noWrap/>
            <w:hideMark/>
          </w:tcPr>
          <w:p w14:paraId="64CFA500" w14:textId="77777777" w:rsidR="005E50A1" w:rsidRPr="00BB2000" w:rsidRDefault="005E50A1" w:rsidP="0039506C">
            <w:pPr>
              <w:pStyle w:val="NoSpacing"/>
              <w:rPr>
                <w:lang w:val="en-GB"/>
              </w:rPr>
            </w:pPr>
            <w:r w:rsidRPr="00BB2000">
              <w:rPr>
                <w:lang w:val="en-GB"/>
              </w:rPr>
              <w:t>2014 cumulative surplus</w:t>
            </w:r>
          </w:p>
        </w:tc>
        <w:tc>
          <w:tcPr>
            <w:tcW w:w="1859" w:type="dxa"/>
            <w:noWrap/>
            <w:hideMark/>
          </w:tcPr>
          <w:p w14:paraId="0CF9DC3A" w14:textId="77777777" w:rsidR="005E50A1" w:rsidRPr="00320162" w:rsidRDefault="005E50A1" w:rsidP="0039506C">
            <w:pPr>
              <w:pStyle w:val="NoSpacing"/>
              <w:rPr>
                <w:lang w:val="en-GB"/>
              </w:rPr>
            </w:pPr>
            <w:r w:rsidRPr="00320162">
              <w:rPr>
                <w:lang w:val="en-GB"/>
              </w:rPr>
              <w:t>Value</w:t>
            </w:r>
          </w:p>
          <w:p w14:paraId="68824DC6" w14:textId="77777777" w:rsidR="005E50A1" w:rsidRPr="00320162" w:rsidRDefault="005E50A1" w:rsidP="0039506C">
            <w:pPr>
              <w:pStyle w:val="NoSpacing"/>
              <w:rPr>
                <w:lang w:val="en-GB"/>
              </w:rPr>
            </w:pPr>
            <w:r w:rsidRPr="00320162">
              <w:rPr>
                <w:lang w:val="en-GB"/>
              </w:rPr>
              <w:t>(March 9, 2016)</w:t>
            </w:r>
          </w:p>
        </w:tc>
        <w:tc>
          <w:tcPr>
            <w:tcW w:w="1858" w:type="dxa"/>
            <w:noWrap/>
            <w:hideMark/>
          </w:tcPr>
          <w:p w14:paraId="69EE8150" w14:textId="77777777" w:rsidR="005E50A1" w:rsidRPr="00320162" w:rsidRDefault="005E50A1" w:rsidP="0039506C">
            <w:pPr>
              <w:pStyle w:val="NoSpacing"/>
              <w:rPr>
                <w:lang w:val="en-GB"/>
              </w:rPr>
            </w:pPr>
            <w:r w:rsidRPr="00320162">
              <w:rPr>
                <w:lang w:val="en-GB"/>
              </w:rPr>
              <w:t>2014 emissions</w:t>
            </w:r>
          </w:p>
        </w:tc>
        <w:tc>
          <w:tcPr>
            <w:tcW w:w="1859" w:type="dxa"/>
          </w:tcPr>
          <w:p w14:paraId="7DE3D8D6" w14:textId="77777777" w:rsidR="005E50A1" w:rsidRPr="00320162" w:rsidRDefault="005E50A1" w:rsidP="0039506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Surplus relative to 2014 emissions</w:t>
            </w:r>
          </w:p>
        </w:tc>
      </w:tr>
      <w:tr w:rsidR="005E50A1" w:rsidRPr="00320162" w14:paraId="3A387E6D" w14:textId="77777777" w:rsidTr="0039506C">
        <w:trPr>
          <w:trHeight w:val="300"/>
        </w:trPr>
        <w:tc>
          <w:tcPr>
            <w:tcW w:w="1917" w:type="dxa"/>
            <w:vMerge/>
            <w:noWrap/>
          </w:tcPr>
          <w:p w14:paraId="6361446A" w14:textId="77777777" w:rsidR="005E50A1" w:rsidRPr="00320162" w:rsidRDefault="005E50A1" w:rsidP="0039506C">
            <w:pPr>
              <w:pStyle w:val="NoSpacing"/>
              <w:rPr>
                <w:lang w:val="en-GB"/>
              </w:rPr>
            </w:pPr>
          </w:p>
        </w:tc>
        <w:tc>
          <w:tcPr>
            <w:tcW w:w="1858" w:type="dxa"/>
            <w:noWrap/>
          </w:tcPr>
          <w:p w14:paraId="258A8AF3" w14:textId="77777777" w:rsidR="005E50A1" w:rsidRPr="00320162" w:rsidRDefault="005E50A1" w:rsidP="0039506C">
            <w:pPr>
              <w:pStyle w:val="NoSpacing"/>
              <w:rPr>
                <w:lang w:val="en-GB"/>
              </w:rPr>
            </w:pPr>
            <w:r w:rsidRPr="00320162">
              <w:rPr>
                <w:lang w:val="en-GB"/>
              </w:rPr>
              <w:t>Mill. EUAs</w:t>
            </w:r>
          </w:p>
        </w:tc>
        <w:tc>
          <w:tcPr>
            <w:tcW w:w="1859" w:type="dxa"/>
            <w:noWrap/>
          </w:tcPr>
          <w:p w14:paraId="4F014A18" w14:textId="77777777" w:rsidR="005E50A1" w:rsidRPr="00320162" w:rsidRDefault="005E50A1" w:rsidP="0039506C">
            <w:pPr>
              <w:pStyle w:val="NoSpacing"/>
              <w:rPr>
                <w:lang w:val="en-GB"/>
              </w:rPr>
            </w:pPr>
            <w:r w:rsidRPr="00320162">
              <w:rPr>
                <w:lang w:val="en-GB"/>
              </w:rPr>
              <w:t>Mill. EUR</w:t>
            </w:r>
          </w:p>
        </w:tc>
        <w:tc>
          <w:tcPr>
            <w:tcW w:w="1858" w:type="dxa"/>
            <w:noWrap/>
          </w:tcPr>
          <w:p w14:paraId="7F844EEF" w14:textId="77777777" w:rsidR="005E50A1" w:rsidRPr="00320162" w:rsidRDefault="005E50A1" w:rsidP="0039506C">
            <w:pPr>
              <w:pStyle w:val="NoSpacing"/>
              <w:rPr>
                <w:lang w:val="en-GB"/>
              </w:rPr>
            </w:pPr>
            <w:r w:rsidRPr="00320162">
              <w:rPr>
                <w:lang w:val="en-GB"/>
              </w:rPr>
              <w:t>Mill. tonnes</w:t>
            </w:r>
          </w:p>
        </w:tc>
        <w:tc>
          <w:tcPr>
            <w:tcW w:w="1859" w:type="dxa"/>
          </w:tcPr>
          <w:p w14:paraId="11D52D53" w14:textId="77777777" w:rsidR="005E50A1" w:rsidRPr="0008187A" w:rsidRDefault="005E50A1" w:rsidP="0039506C">
            <w:pPr>
              <w:pStyle w:val="NoSpacing"/>
              <w:rPr>
                <w:lang w:val="en-GB"/>
              </w:rPr>
            </w:pPr>
            <w:r w:rsidRPr="0008187A">
              <w:rPr>
                <w:lang w:val="en-GB"/>
              </w:rPr>
              <w:t>%</w:t>
            </w:r>
          </w:p>
        </w:tc>
      </w:tr>
      <w:tr w:rsidR="005E50A1" w:rsidRPr="00320162" w14:paraId="32060B83" w14:textId="77777777" w:rsidTr="0039506C">
        <w:trPr>
          <w:trHeight w:val="300"/>
        </w:trPr>
        <w:tc>
          <w:tcPr>
            <w:tcW w:w="1917" w:type="dxa"/>
            <w:noWrap/>
            <w:hideMark/>
          </w:tcPr>
          <w:p w14:paraId="2456FB0F" w14:textId="77777777" w:rsidR="005E50A1" w:rsidRDefault="005E50A1" w:rsidP="0039506C">
            <w:pPr>
              <w:pStyle w:val="NoSpacing"/>
              <w:rPr>
                <w:lang w:val="en-GB"/>
              </w:rPr>
            </w:pPr>
            <w:r w:rsidRPr="00320162">
              <w:rPr>
                <w:lang w:val="en-GB"/>
              </w:rPr>
              <w:t>Lafarge-Holcim</w:t>
            </w:r>
          </w:p>
          <w:p w14:paraId="37EA31A9" w14:textId="77777777" w:rsidR="005E50A1" w:rsidRPr="00320162" w:rsidRDefault="005E50A1" w:rsidP="0039506C">
            <w:pPr>
              <w:pStyle w:val="NoSpacing"/>
              <w:rPr>
                <w:lang w:val="en-GB"/>
              </w:rPr>
            </w:pPr>
          </w:p>
        </w:tc>
        <w:tc>
          <w:tcPr>
            <w:tcW w:w="1858" w:type="dxa"/>
            <w:noWrap/>
            <w:hideMark/>
          </w:tcPr>
          <w:p w14:paraId="2E7FF79D" w14:textId="77777777" w:rsidR="005E50A1" w:rsidRPr="00025E95" w:rsidRDefault="005E50A1" w:rsidP="0039506C">
            <w:pPr>
              <w:pStyle w:val="NoSpacing"/>
              <w:rPr>
                <w:lang w:val="en-GB"/>
              </w:rPr>
            </w:pPr>
            <w:r w:rsidRPr="00025E95">
              <w:rPr>
                <w:lang w:val="en-GB"/>
              </w:rPr>
              <w:t>49.8</w:t>
            </w:r>
          </w:p>
        </w:tc>
        <w:tc>
          <w:tcPr>
            <w:tcW w:w="1859" w:type="dxa"/>
            <w:noWrap/>
            <w:hideMark/>
          </w:tcPr>
          <w:p w14:paraId="7E4B05FE" w14:textId="77777777" w:rsidR="005E50A1" w:rsidRPr="000E1D78" w:rsidRDefault="005E50A1" w:rsidP="0039506C">
            <w:pPr>
              <w:pStyle w:val="NoSpacing"/>
              <w:rPr>
                <w:lang w:val="en-GB"/>
              </w:rPr>
            </w:pPr>
            <w:r w:rsidRPr="000E1D78">
              <w:rPr>
                <w:lang w:val="en-GB"/>
              </w:rPr>
              <w:t>299.7</w:t>
            </w:r>
          </w:p>
        </w:tc>
        <w:tc>
          <w:tcPr>
            <w:tcW w:w="1858" w:type="dxa"/>
            <w:noWrap/>
            <w:hideMark/>
          </w:tcPr>
          <w:p w14:paraId="1F31D7D0" w14:textId="77777777" w:rsidR="005E50A1" w:rsidRPr="00320162" w:rsidRDefault="005E50A1" w:rsidP="0039506C">
            <w:pPr>
              <w:pStyle w:val="NoSpacing"/>
              <w:rPr>
                <w:lang w:val="en-GB"/>
              </w:rPr>
            </w:pPr>
            <w:r w:rsidRPr="00320162">
              <w:rPr>
                <w:lang w:val="en-GB"/>
              </w:rPr>
              <w:t>18.2</w:t>
            </w:r>
          </w:p>
        </w:tc>
        <w:tc>
          <w:tcPr>
            <w:tcW w:w="1859" w:type="dxa"/>
          </w:tcPr>
          <w:p w14:paraId="563107D3" w14:textId="77777777" w:rsidR="005E50A1" w:rsidRPr="0008187A" w:rsidRDefault="005E50A1" w:rsidP="0039506C">
            <w:pPr>
              <w:pStyle w:val="NoSpacing"/>
              <w:rPr>
                <w:lang w:val="en-GB"/>
              </w:rPr>
            </w:pPr>
            <w:r w:rsidRPr="0008187A">
              <w:rPr>
                <w:lang w:val="en-GB"/>
              </w:rPr>
              <w:t>274%</w:t>
            </w:r>
          </w:p>
        </w:tc>
      </w:tr>
      <w:tr w:rsidR="005E50A1" w:rsidRPr="00320162" w14:paraId="1B621014" w14:textId="77777777" w:rsidTr="0039506C">
        <w:trPr>
          <w:trHeight w:val="300"/>
        </w:trPr>
        <w:tc>
          <w:tcPr>
            <w:tcW w:w="1917" w:type="dxa"/>
            <w:noWrap/>
            <w:hideMark/>
          </w:tcPr>
          <w:p w14:paraId="2CF45C9C" w14:textId="77777777" w:rsidR="005E50A1" w:rsidRPr="00320162" w:rsidRDefault="005E50A1" w:rsidP="0039506C">
            <w:pPr>
              <w:pStyle w:val="NoSpacing"/>
              <w:rPr>
                <w:lang w:val="en-GB"/>
              </w:rPr>
            </w:pPr>
            <w:r w:rsidRPr="00320162">
              <w:rPr>
                <w:lang w:val="en-GB"/>
              </w:rPr>
              <w:t>Heidelberg-Italcementi</w:t>
            </w:r>
          </w:p>
        </w:tc>
        <w:tc>
          <w:tcPr>
            <w:tcW w:w="1858" w:type="dxa"/>
            <w:noWrap/>
            <w:hideMark/>
          </w:tcPr>
          <w:p w14:paraId="3591931B" w14:textId="77777777" w:rsidR="005E50A1" w:rsidRPr="00025E95" w:rsidRDefault="005E50A1" w:rsidP="0039506C">
            <w:pPr>
              <w:pStyle w:val="NoSpacing"/>
              <w:rPr>
                <w:lang w:val="en-GB"/>
              </w:rPr>
            </w:pPr>
            <w:r w:rsidRPr="00025E95">
              <w:rPr>
                <w:lang w:val="en-GB"/>
              </w:rPr>
              <w:t>45.8</w:t>
            </w:r>
          </w:p>
        </w:tc>
        <w:tc>
          <w:tcPr>
            <w:tcW w:w="1859" w:type="dxa"/>
            <w:noWrap/>
            <w:hideMark/>
          </w:tcPr>
          <w:p w14:paraId="2CC542C2" w14:textId="77777777" w:rsidR="005E50A1" w:rsidRPr="000E1D78" w:rsidRDefault="005E50A1" w:rsidP="0039506C">
            <w:pPr>
              <w:pStyle w:val="NoSpacing"/>
              <w:rPr>
                <w:lang w:val="en-GB"/>
              </w:rPr>
            </w:pPr>
            <w:r w:rsidRPr="000E1D78">
              <w:rPr>
                <w:lang w:val="en-GB"/>
              </w:rPr>
              <w:t>275.5</w:t>
            </w:r>
          </w:p>
        </w:tc>
        <w:tc>
          <w:tcPr>
            <w:tcW w:w="1858" w:type="dxa"/>
            <w:noWrap/>
            <w:hideMark/>
          </w:tcPr>
          <w:p w14:paraId="269EDF0D" w14:textId="77777777" w:rsidR="005E50A1" w:rsidRPr="00320162" w:rsidRDefault="005E50A1" w:rsidP="0039506C">
            <w:pPr>
              <w:pStyle w:val="NoSpacing"/>
              <w:rPr>
                <w:lang w:val="en-GB"/>
              </w:rPr>
            </w:pPr>
            <w:r w:rsidRPr="00320162">
              <w:rPr>
                <w:lang w:val="en-GB"/>
              </w:rPr>
              <w:t>28.1</w:t>
            </w:r>
          </w:p>
        </w:tc>
        <w:tc>
          <w:tcPr>
            <w:tcW w:w="1859" w:type="dxa"/>
          </w:tcPr>
          <w:p w14:paraId="37DFAFA5" w14:textId="77777777" w:rsidR="005E50A1" w:rsidRPr="0008187A" w:rsidRDefault="005E50A1" w:rsidP="0039506C">
            <w:pPr>
              <w:pStyle w:val="NoSpacing"/>
              <w:rPr>
                <w:lang w:val="en-GB"/>
              </w:rPr>
            </w:pPr>
            <w:r w:rsidRPr="0008187A">
              <w:rPr>
                <w:lang w:val="en-GB"/>
              </w:rPr>
              <w:t>163%</w:t>
            </w:r>
          </w:p>
        </w:tc>
      </w:tr>
      <w:tr w:rsidR="005E50A1" w:rsidRPr="00320162" w14:paraId="7767681C" w14:textId="77777777" w:rsidTr="0039506C">
        <w:trPr>
          <w:trHeight w:val="300"/>
        </w:trPr>
        <w:tc>
          <w:tcPr>
            <w:tcW w:w="1917" w:type="dxa"/>
            <w:noWrap/>
            <w:hideMark/>
          </w:tcPr>
          <w:p w14:paraId="1C0F9F84" w14:textId="77777777" w:rsidR="005E50A1" w:rsidRDefault="005E50A1" w:rsidP="0039506C">
            <w:pPr>
              <w:pStyle w:val="NoSpacing"/>
              <w:rPr>
                <w:lang w:val="en-GB"/>
              </w:rPr>
            </w:pPr>
            <w:r w:rsidRPr="00320162">
              <w:rPr>
                <w:lang w:val="en-GB"/>
              </w:rPr>
              <w:t>CRH</w:t>
            </w:r>
          </w:p>
          <w:p w14:paraId="1E675309" w14:textId="77777777" w:rsidR="005E50A1" w:rsidRPr="00320162" w:rsidRDefault="005E50A1" w:rsidP="0039506C">
            <w:pPr>
              <w:pStyle w:val="NoSpacing"/>
              <w:rPr>
                <w:lang w:val="en-GB"/>
              </w:rPr>
            </w:pPr>
          </w:p>
        </w:tc>
        <w:tc>
          <w:tcPr>
            <w:tcW w:w="1858" w:type="dxa"/>
            <w:noWrap/>
            <w:hideMark/>
          </w:tcPr>
          <w:p w14:paraId="7CE95011" w14:textId="77777777" w:rsidR="005E50A1" w:rsidRPr="00025E95" w:rsidRDefault="005E50A1" w:rsidP="0039506C">
            <w:pPr>
              <w:pStyle w:val="NoSpacing"/>
              <w:rPr>
                <w:lang w:val="en-GB"/>
              </w:rPr>
            </w:pPr>
            <w:r w:rsidRPr="00025E95">
              <w:rPr>
                <w:lang w:val="en-GB"/>
              </w:rPr>
              <w:t>31.9</w:t>
            </w:r>
          </w:p>
        </w:tc>
        <w:tc>
          <w:tcPr>
            <w:tcW w:w="1859" w:type="dxa"/>
            <w:noWrap/>
            <w:hideMark/>
          </w:tcPr>
          <w:p w14:paraId="1DB1872D" w14:textId="77777777" w:rsidR="005E50A1" w:rsidRPr="000E1D78" w:rsidRDefault="005E50A1" w:rsidP="0039506C">
            <w:pPr>
              <w:pStyle w:val="NoSpacing"/>
              <w:rPr>
                <w:lang w:val="en-GB"/>
              </w:rPr>
            </w:pPr>
            <w:r w:rsidRPr="000E1D78">
              <w:rPr>
                <w:lang w:val="en-GB"/>
              </w:rPr>
              <w:t>191.8</w:t>
            </w:r>
          </w:p>
        </w:tc>
        <w:tc>
          <w:tcPr>
            <w:tcW w:w="1858" w:type="dxa"/>
            <w:noWrap/>
            <w:hideMark/>
          </w:tcPr>
          <w:p w14:paraId="3E9B8B82" w14:textId="77777777" w:rsidR="005E50A1" w:rsidRPr="00320162" w:rsidRDefault="005E50A1" w:rsidP="0039506C">
            <w:pPr>
              <w:pStyle w:val="NoSpacing"/>
              <w:rPr>
                <w:lang w:val="en-GB"/>
              </w:rPr>
            </w:pPr>
            <w:r w:rsidRPr="00320162">
              <w:rPr>
                <w:lang w:val="en-GB"/>
              </w:rPr>
              <w:t>10.3</w:t>
            </w:r>
          </w:p>
        </w:tc>
        <w:tc>
          <w:tcPr>
            <w:tcW w:w="1859" w:type="dxa"/>
          </w:tcPr>
          <w:p w14:paraId="7043E2F9" w14:textId="77777777" w:rsidR="005E50A1" w:rsidRPr="0008187A" w:rsidRDefault="005E50A1" w:rsidP="0039506C">
            <w:pPr>
              <w:pStyle w:val="NoSpacing"/>
              <w:rPr>
                <w:lang w:val="en-GB"/>
              </w:rPr>
            </w:pPr>
            <w:r w:rsidRPr="0008187A">
              <w:rPr>
                <w:lang w:val="en-GB"/>
              </w:rPr>
              <w:t>310%</w:t>
            </w:r>
          </w:p>
        </w:tc>
      </w:tr>
      <w:tr w:rsidR="005E50A1" w:rsidRPr="00320162" w14:paraId="403C1FF2" w14:textId="77777777" w:rsidTr="0039506C">
        <w:trPr>
          <w:trHeight w:val="300"/>
        </w:trPr>
        <w:tc>
          <w:tcPr>
            <w:tcW w:w="1917" w:type="dxa"/>
            <w:noWrap/>
            <w:hideMark/>
          </w:tcPr>
          <w:p w14:paraId="5511EB8A" w14:textId="77777777" w:rsidR="005E50A1" w:rsidRDefault="005E50A1" w:rsidP="0039506C">
            <w:pPr>
              <w:pStyle w:val="NoSpacing"/>
              <w:rPr>
                <w:lang w:val="en-GB"/>
              </w:rPr>
            </w:pPr>
            <w:r w:rsidRPr="00320162">
              <w:rPr>
                <w:lang w:val="en-GB"/>
              </w:rPr>
              <w:t>Cemex</w:t>
            </w:r>
          </w:p>
          <w:p w14:paraId="2B85E03B" w14:textId="77777777" w:rsidR="005E50A1" w:rsidRPr="00320162" w:rsidRDefault="005E50A1" w:rsidP="0039506C">
            <w:pPr>
              <w:pStyle w:val="NoSpacing"/>
              <w:rPr>
                <w:lang w:val="en-GB"/>
              </w:rPr>
            </w:pPr>
          </w:p>
        </w:tc>
        <w:tc>
          <w:tcPr>
            <w:tcW w:w="1858" w:type="dxa"/>
            <w:noWrap/>
            <w:hideMark/>
          </w:tcPr>
          <w:p w14:paraId="49F7FBC5" w14:textId="77777777" w:rsidR="005E50A1" w:rsidRPr="00025E95" w:rsidRDefault="005E50A1" w:rsidP="0039506C">
            <w:pPr>
              <w:pStyle w:val="NoSpacing"/>
              <w:rPr>
                <w:lang w:val="en-GB"/>
              </w:rPr>
            </w:pPr>
            <w:r w:rsidRPr="00025E95">
              <w:rPr>
                <w:lang w:val="en-GB"/>
              </w:rPr>
              <w:t>26.2</w:t>
            </w:r>
          </w:p>
        </w:tc>
        <w:tc>
          <w:tcPr>
            <w:tcW w:w="1859" w:type="dxa"/>
            <w:noWrap/>
            <w:hideMark/>
          </w:tcPr>
          <w:p w14:paraId="49828138" w14:textId="77777777" w:rsidR="005E50A1" w:rsidRPr="000E1D78" w:rsidRDefault="005E50A1" w:rsidP="0039506C">
            <w:pPr>
              <w:pStyle w:val="NoSpacing"/>
              <w:rPr>
                <w:lang w:val="en-GB"/>
              </w:rPr>
            </w:pPr>
            <w:r w:rsidRPr="000E1D78">
              <w:rPr>
                <w:lang w:val="en-GB"/>
              </w:rPr>
              <w:t>157.5</w:t>
            </w:r>
          </w:p>
        </w:tc>
        <w:tc>
          <w:tcPr>
            <w:tcW w:w="1858" w:type="dxa"/>
            <w:noWrap/>
            <w:hideMark/>
          </w:tcPr>
          <w:p w14:paraId="2EA41437" w14:textId="77777777" w:rsidR="005E50A1" w:rsidRPr="00320162" w:rsidRDefault="005E50A1" w:rsidP="0039506C">
            <w:pPr>
              <w:pStyle w:val="NoSpacing"/>
              <w:rPr>
                <w:lang w:val="en-GB"/>
              </w:rPr>
            </w:pPr>
            <w:r w:rsidRPr="00320162">
              <w:rPr>
                <w:lang w:val="en-GB"/>
              </w:rPr>
              <w:t>8.0</w:t>
            </w:r>
          </w:p>
        </w:tc>
        <w:tc>
          <w:tcPr>
            <w:tcW w:w="1859" w:type="dxa"/>
          </w:tcPr>
          <w:p w14:paraId="67A857C5" w14:textId="77777777" w:rsidR="005E50A1" w:rsidRPr="0008187A" w:rsidRDefault="005E50A1" w:rsidP="0039506C">
            <w:pPr>
              <w:pStyle w:val="NoSpacing"/>
              <w:rPr>
                <w:lang w:val="en-GB"/>
              </w:rPr>
            </w:pPr>
            <w:r w:rsidRPr="0008187A">
              <w:rPr>
                <w:lang w:val="en-GB"/>
              </w:rPr>
              <w:t>327%</w:t>
            </w:r>
          </w:p>
        </w:tc>
      </w:tr>
      <w:tr w:rsidR="005E50A1" w:rsidRPr="00320162" w14:paraId="62D21A48" w14:textId="77777777" w:rsidTr="0039506C">
        <w:trPr>
          <w:trHeight w:val="300"/>
        </w:trPr>
        <w:tc>
          <w:tcPr>
            <w:tcW w:w="1917" w:type="dxa"/>
            <w:noWrap/>
            <w:hideMark/>
          </w:tcPr>
          <w:p w14:paraId="5DA258A9" w14:textId="77777777" w:rsidR="005E50A1" w:rsidRDefault="005E50A1" w:rsidP="0039506C">
            <w:pPr>
              <w:pStyle w:val="NoSpacing"/>
              <w:rPr>
                <w:lang w:val="en-GB"/>
              </w:rPr>
            </w:pPr>
            <w:r w:rsidRPr="00320162">
              <w:rPr>
                <w:lang w:val="en-GB"/>
              </w:rPr>
              <w:t>Buzzi Unicem</w:t>
            </w:r>
          </w:p>
          <w:p w14:paraId="38302BC1" w14:textId="77777777" w:rsidR="005E50A1" w:rsidRPr="00320162" w:rsidRDefault="005E50A1" w:rsidP="0039506C">
            <w:pPr>
              <w:pStyle w:val="NoSpacing"/>
              <w:rPr>
                <w:lang w:val="en-GB"/>
              </w:rPr>
            </w:pPr>
          </w:p>
        </w:tc>
        <w:tc>
          <w:tcPr>
            <w:tcW w:w="1858" w:type="dxa"/>
            <w:noWrap/>
            <w:hideMark/>
          </w:tcPr>
          <w:p w14:paraId="2B0B5538" w14:textId="77777777" w:rsidR="005E50A1" w:rsidRPr="00025E95" w:rsidRDefault="005E50A1" w:rsidP="0039506C">
            <w:pPr>
              <w:pStyle w:val="NoSpacing"/>
              <w:rPr>
                <w:lang w:val="en-GB"/>
              </w:rPr>
            </w:pPr>
            <w:r w:rsidRPr="00025E95">
              <w:rPr>
                <w:lang w:val="en-GB"/>
              </w:rPr>
              <w:t>10.4</w:t>
            </w:r>
          </w:p>
        </w:tc>
        <w:tc>
          <w:tcPr>
            <w:tcW w:w="1859" w:type="dxa"/>
            <w:noWrap/>
            <w:hideMark/>
          </w:tcPr>
          <w:p w14:paraId="6CD11178" w14:textId="77777777" w:rsidR="005E50A1" w:rsidRPr="000E1D78" w:rsidRDefault="005E50A1" w:rsidP="0039506C">
            <w:pPr>
              <w:pStyle w:val="NoSpacing"/>
              <w:rPr>
                <w:lang w:val="en-GB"/>
              </w:rPr>
            </w:pPr>
            <w:r w:rsidRPr="000E1D78">
              <w:rPr>
                <w:lang w:val="en-GB"/>
              </w:rPr>
              <w:t>62.5</w:t>
            </w:r>
          </w:p>
        </w:tc>
        <w:tc>
          <w:tcPr>
            <w:tcW w:w="1858" w:type="dxa"/>
            <w:noWrap/>
            <w:hideMark/>
          </w:tcPr>
          <w:p w14:paraId="2B98176A" w14:textId="77777777" w:rsidR="005E50A1" w:rsidRPr="00320162" w:rsidRDefault="005E50A1" w:rsidP="0039506C">
            <w:pPr>
              <w:pStyle w:val="NoSpacing"/>
              <w:rPr>
                <w:lang w:val="en-GB"/>
              </w:rPr>
            </w:pPr>
            <w:r w:rsidRPr="00320162">
              <w:rPr>
                <w:lang w:val="en-GB"/>
              </w:rPr>
              <w:t>7.3</w:t>
            </w:r>
          </w:p>
        </w:tc>
        <w:tc>
          <w:tcPr>
            <w:tcW w:w="1859" w:type="dxa"/>
          </w:tcPr>
          <w:p w14:paraId="04C709DD" w14:textId="77777777" w:rsidR="005E50A1" w:rsidRPr="0008187A" w:rsidRDefault="005E50A1" w:rsidP="005E50A1">
            <w:pPr>
              <w:pStyle w:val="NoSpacing"/>
              <w:keepNext/>
              <w:rPr>
                <w:lang w:val="en-GB"/>
              </w:rPr>
            </w:pPr>
            <w:r w:rsidRPr="0008187A">
              <w:rPr>
                <w:lang w:val="en-GB"/>
              </w:rPr>
              <w:t>142%</w:t>
            </w:r>
          </w:p>
        </w:tc>
      </w:tr>
    </w:tbl>
    <w:p w14:paraId="5029AD1F" w14:textId="2F347665" w:rsidR="005E50A1" w:rsidRDefault="005E50A1" w:rsidP="005E50A1">
      <w:pPr>
        <w:pStyle w:val="Caption"/>
        <w:spacing w:after="0"/>
        <w:rPr>
          <w:i w:val="0"/>
          <w:iCs w:val="0"/>
          <w:color w:val="auto"/>
          <w:sz w:val="22"/>
          <w:szCs w:val="22"/>
        </w:rPr>
      </w:pPr>
      <w:r w:rsidRPr="005E50A1">
        <w:rPr>
          <w:i w:val="0"/>
          <w:iCs w:val="0"/>
          <w:color w:val="auto"/>
          <w:sz w:val="22"/>
          <w:szCs w:val="22"/>
        </w:rPr>
        <w:t xml:space="preserve">Table </w:t>
      </w:r>
      <w:r w:rsidRPr="005E50A1">
        <w:rPr>
          <w:i w:val="0"/>
          <w:iCs w:val="0"/>
          <w:color w:val="auto"/>
          <w:sz w:val="22"/>
          <w:szCs w:val="22"/>
        </w:rPr>
        <w:fldChar w:fldCharType="begin"/>
      </w:r>
      <w:r w:rsidRPr="005E50A1">
        <w:rPr>
          <w:i w:val="0"/>
          <w:iCs w:val="0"/>
          <w:color w:val="auto"/>
          <w:sz w:val="22"/>
          <w:szCs w:val="22"/>
        </w:rPr>
        <w:instrText xml:space="preserve"> SEQ Table \* ARABIC </w:instrText>
      </w:r>
      <w:r w:rsidRPr="005E50A1">
        <w:rPr>
          <w:i w:val="0"/>
          <w:iCs w:val="0"/>
          <w:color w:val="auto"/>
          <w:sz w:val="22"/>
          <w:szCs w:val="22"/>
        </w:rPr>
        <w:fldChar w:fldCharType="separate"/>
      </w:r>
      <w:r w:rsidR="00855C69">
        <w:rPr>
          <w:i w:val="0"/>
          <w:iCs w:val="0"/>
          <w:noProof/>
          <w:color w:val="auto"/>
          <w:sz w:val="22"/>
          <w:szCs w:val="22"/>
        </w:rPr>
        <w:t>1</w:t>
      </w:r>
      <w:r w:rsidRPr="005E50A1">
        <w:rPr>
          <w:i w:val="0"/>
          <w:iCs w:val="0"/>
          <w:color w:val="auto"/>
          <w:sz w:val="22"/>
          <w:szCs w:val="22"/>
        </w:rPr>
        <w:fldChar w:fldCharType="end"/>
      </w:r>
      <w:r w:rsidRPr="005E50A1">
        <w:rPr>
          <w:i w:val="0"/>
          <w:iCs w:val="0"/>
          <w:color w:val="auto"/>
          <w:sz w:val="22"/>
          <w:szCs w:val="22"/>
        </w:rPr>
        <w:t>: The 5 cement companies with the largest surplus as of 2014</w:t>
      </w:r>
      <w:r>
        <w:rPr>
          <w:i w:val="0"/>
          <w:iCs w:val="0"/>
          <w:color w:val="auto"/>
          <w:sz w:val="22"/>
          <w:szCs w:val="22"/>
        </w:rPr>
        <w:t xml:space="preserve">. </w:t>
      </w:r>
    </w:p>
    <w:p w14:paraId="35BC1C84" w14:textId="69E36D74" w:rsidR="005E50A1" w:rsidRPr="005E50A1" w:rsidRDefault="005E50A1" w:rsidP="005E50A1">
      <w:pPr>
        <w:pStyle w:val="Caption"/>
        <w:rPr>
          <w:i w:val="0"/>
          <w:iCs w:val="0"/>
          <w:color w:val="auto"/>
          <w:sz w:val="22"/>
          <w:szCs w:val="22"/>
        </w:rPr>
      </w:pPr>
      <w:r w:rsidRPr="005E50A1">
        <w:rPr>
          <w:i w:val="0"/>
          <w:iCs w:val="0"/>
          <w:color w:val="auto"/>
          <w:sz w:val="22"/>
          <w:szCs w:val="22"/>
        </w:rPr>
        <w:t>Source: Source: EUTL (Sandbag calculations)</w:t>
      </w:r>
    </w:p>
    <w:p w14:paraId="732A812E" w14:textId="77777777" w:rsidR="005E50A1" w:rsidRDefault="005E50A1" w:rsidP="00443FCC">
      <w:pPr>
        <w:pStyle w:val="NoSpacing"/>
        <w:rPr>
          <w:rFonts w:cs="Times New Roman"/>
          <w:b/>
          <w:i/>
        </w:rPr>
      </w:pPr>
    </w:p>
    <w:p w14:paraId="7BA02EC8" w14:textId="77777777" w:rsidR="00E15ED9" w:rsidRDefault="00E15ED9" w:rsidP="00443FCC">
      <w:pPr>
        <w:pStyle w:val="NoSpacing"/>
        <w:rPr>
          <w:rFonts w:cs="Times New Roman"/>
          <w:b/>
          <w:i/>
        </w:rPr>
      </w:pPr>
    </w:p>
    <w:sectPr w:rsidR="00E15E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6CB05" w14:textId="77777777" w:rsidR="00523F9E" w:rsidRDefault="00523F9E" w:rsidP="003157D3">
      <w:pPr>
        <w:spacing w:after="0" w:line="240" w:lineRule="auto"/>
      </w:pPr>
      <w:r>
        <w:separator/>
      </w:r>
    </w:p>
  </w:endnote>
  <w:endnote w:type="continuationSeparator" w:id="0">
    <w:p w14:paraId="41A14792" w14:textId="77777777" w:rsidR="00523F9E" w:rsidRDefault="00523F9E" w:rsidP="0031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EB295" w14:textId="77777777" w:rsidR="00523F9E" w:rsidRDefault="00523F9E" w:rsidP="003157D3">
      <w:pPr>
        <w:spacing w:after="0" w:line="240" w:lineRule="auto"/>
      </w:pPr>
      <w:r>
        <w:separator/>
      </w:r>
    </w:p>
  </w:footnote>
  <w:footnote w:type="continuationSeparator" w:id="0">
    <w:p w14:paraId="0CE1C91E" w14:textId="77777777" w:rsidR="00523F9E" w:rsidRDefault="00523F9E" w:rsidP="003157D3">
      <w:pPr>
        <w:spacing w:after="0" w:line="240" w:lineRule="auto"/>
      </w:pPr>
      <w:r>
        <w:continuationSeparator/>
      </w:r>
    </w:p>
  </w:footnote>
  <w:footnote w:id="1">
    <w:p w14:paraId="388FFE6B" w14:textId="75984535" w:rsidR="004A1E49" w:rsidRPr="002263EF" w:rsidRDefault="004A1E49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‘Carbon leakage’ is the </w:t>
      </w:r>
      <w:r w:rsidR="00A92789">
        <w:rPr>
          <w:lang w:val="en-GB"/>
        </w:rPr>
        <w:t>theory</w:t>
      </w:r>
      <w:r>
        <w:rPr>
          <w:lang w:val="en-GB"/>
        </w:rPr>
        <w:t xml:space="preserve"> that a carbon price in Europe will lead to industries </w:t>
      </w:r>
      <w:r w:rsidR="00A92789">
        <w:rPr>
          <w:lang w:val="en-GB"/>
        </w:rPr>
        <w:t>moving to other countries where</w:t>
      </w:r>
      <w:r>
        <w:rPr>
          <w:lang w:val="en-GB"/>
        </w:rPr>
        <w:t xml:space="preserve"> they don</w:t>
      </w:r>
      <w:r w:rsidR="00A92789">
        <w:rPr>
          <w:lang w:val="en-GB"/>
        </w:rPr>
        <w:t xml:space="preserve">’t have to pay for their pollution. With the EU carbon price currently at €5 per tonne, there is no evidence that carbon leakage is occurring or has occurred under the ETS. </w:t>
      </w:r>
      <w:r w:rsidR="00A92789" w:rsidRPr="00A92789">
        <w:rPr>
          <w:lang w:val="en-GB"/>
        </w:rPr>
        <w:t>http://ec.europa.eu/clima/policies/ets/cap/leakage/docs/cl_evidence_factsheets_en.pdf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32557"/>
    <w:multiLevelType w:val="hybridMultilevel"/>
    <w:tmpl w:val="4D24D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71F85"/>
    <w:multiLevelType w:val="hybridMultilevel"/>
    <w:tmpl w:val="81F4E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36FE1"/>
    <w:multiLevelType w:val="hybridMultilevel"/>
    <w:tmpl w:val="AFF60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2676F"/>
    <w:multiLevelType w:val="multilevel"/>
    <w:tmpl w:val="C802A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F95BFF"/>
    <w:multiLevelType w:val="hybridMultilevel"/>
    <w:tmpl w:val="260CFD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F53037"/>
    <w:multiLevelType w:val="multilevel"/>
    <w:tmpl w:val="D4C8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DF68B0"/>
    <w:multiLevelType w:val="hybridMultilevel"/>
    <w:tmpl w:val="CD84C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A63C1"/>
    <w:multiLevelType w:val="hybridMultilevel"/>
    <w:tmpl w:val="50EE3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F3A42"/>
    <w:multiLevelType w:val="multilevel"/>
    <w:tmpl w:val="744A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24"/>
    <w:rsid w:val="00002CCA"/>
    <w:rsid w:val="00002ED5"/>
    <w:rsid w:val="000047D8"/>
    <w:rsid w:val="00007ED7"/>
    <w:rsid w:val="00010898"/>
    <w:rsid w:val="000123B0"/>
    <w:rsid w:val="000130B4"/>
    <w:rsid w:val="00013125"/>
    <w:rsid w:val="00013FB2"/>
    <w:rsid w:val="00014AA5"/>
    <w:rsid w:val="00014ADE"/>
    <w:rsid w:val="000152A9"/>
    <w:rsid w:val="000170FF"/>
    <w:rsid w:val="00017F25"/>
    <w:rsid w:val="00021C76"/>
    <w:rsid w:val="000259FE"/>
    <w:rsid w:val="00025E95"/>
    <w:rsid w:val="0002662C"/>
    <w:rsid w:val="00030531"/>
    <w:rsid w:val="00034BF8"/>
    <w:rsid w:val="00035B6C"/>
    <w:rsid w:val="00037774"/>
    <w:rsid w:val="000406F2"/>
    <w:rsid w:val="00044319"/>
    <w:rsid w:val="00045B4D"/>
    <w:rsid w:val="000466D2"/>
    <w:rsid w:val="00054125"/>
    <w:rsid w:val="000554F9"/>
    <w:rsid w:val="00057E15"/>
    <w:rsid w:val="000614ED"/>
    <w:rsid w:val="00062F3D"/>
    <w:rsid w:val="0006462C"/>
    <w:rsid w:val="00065C96"/>
    <w:rsid w:val="0007026F"/>
    <w:rsid w:val="000708F9"/>
    <w:rsid w:val="00070BC8"/>
    <w:rsid w:val="00070D3A"/>
    <w:rsid w:val="0007273B"/>
    <w:rsid w:val="000745C1"/>
    <w:rsid w:val="0007568A"/>
    <w:rsid w:val="0007671A"/>
    <w:rsid w:val="00077C19"/>
    <w:rsid w:val="00080382"/>
    <w:rsid w:val="0008187A"/>
    <w:rsid w:val="00082808"/>
    <w:rsid w:val="00083B34"/>
    <w:rsid w:val="0008418A"/>
    <w:rsid w:val="000847B0"/>
    <w:rsid w:val="000853CA"/>
    <w:rsid w:val="00086E5E"/>
    <w:rsid w:val="0009061E"/>
    <w:rsid w:val="000908E8"/>
    <w:rsid w:val="0009227B"/>
    <w:rsid w:val="0009243A"/>
    <w:rsid w:val="00094A3E"/>
    <w:rsid w:val="00097D43"/>
    <w:rsid w:val="000A2293"/>
    <w:rsid w:val="000A3D65"/>
    <w:rsid w:val="000A563A"/>
    <w:rsid w:val="000B3FC1"/>
    <w:rsid w:val="000C05E8"/>
    <w:rsid w:val="000C0804"/>
    <w:rsid w:val="000C12CE"/>
    <w:rsid w:val="000C4708"/>
    <w:rsid w:val="000C621B"/>
    <w:rsid w:val="000C6855"/>
    <w:rsid w:val="000C7BF8"/>
    <w:rsid w:val="000D6E79"/>
    <w:rsid w:val="000E086B"/>
    <w:rsid w:val="000E0F1E"/>
    <w:rsid w:val="000E1D78"/>
    <w:rsid w:val="000E2521"/>
    <w:rsid w:val="000E6567"/>
    <w:rsid w:val="000F04F0"/>
    <w:rsid w:val="000F0A74"/>
    <w:rsid w:val="000F14CD"/>
    <w:rsid w:val="000F18F7"/>
    <w:rsid w:val="000F25CB"/>
    <w:rsid w:val="000F266C"/>
    <w:rsid w:val="000F5141"/>
    <w:rsid w:val="000F72D5"/>
    <w:rsid w:val="0010004B"/>
    <w:rsid w:val="00101DA9"/>
    <w:rsid w:val="00102162"/>
    <w:rsid w:val="0010235C"/>
    <w:rsid w:val="00103874"/>
    <w:rsid w:val="00103AE0"/>
    <w:rsid w:val="0011137D"/>
    <w:rsid w:val="00111F3E"/>
    <w:rsid w:val="00113266"/>
    <w:rsid w:val="0011357B"/>
    <w:rsid w:val="001136D3"/>
    <w:rsid w:val="00113C8D"/>
    <w:rsid w:val="00114E49"/>
    <w:rsid w:val="00115765"/>
    <w:rsid w:val="00120136"/>
    <w:rsid w:val="001201EE"/>
    <w:rsid w:val="00120F34"/>
    <w:rsid w:val="00121B7A"/>
    <w:rsid w:val="00125B2C"/>
    <w:rsid w:val="0012744B"/>
    <w:rsid w:val="001275B0"/>
    <w:rsid w:val="0012774F"/>
    <w:rsid w:val="00130814"/>
    <w:rsid w:val="0013282F"/>
    <w:rsid w:val="0013349A"/>
    <w:rsid w:val="00135D50"/>
    <w:rsid w:val="001410BD"/>
    <w:rsid w:val="001410CE"/>
    <w:rsid w:val="00141678"/>
    <w:rsid w:val="00146BA1"/>
    <w:rsid w:val="00150B5E"/>
    <w:rsid w:val="001511E3"/>
    <w:rsid w:val="00151EBE"/>
    <w:rsid w:val="001530D4"/>
    <w:rsid w:val="00153342"/>
    <w:rsid w:val="001544A3"/>
    <w:rsid w:val="00156FA2"/>
    <w:rsid w:val="00160F4C"/>
    <w:rsid w:val="00161C24"/>
    <w:rsid w:val="00163A60"/>
    <w:rsid w:val="00165296"/>
    <w:rsid w:val="00165E98"/>
    <w:rsid w:val="00166109"/>
    <w:rsid w:val="00166762"/>
    <w:rsid w:val="00170319"/>
    <w:rsid w:val="00170385"/>
    <w:rsid w:val="001748A7"/>
    <w:rsid w:val="00182560"/>
    <w:rsid w:val="0019071F"/>
    <w:rsid w:val="00192EB0"/>
    <w:rsid w:val="001944E3"/>
    <w:rsid w:val="00196E2D"/>
    <w:rsid w:val="00197214"/>
    <w:rsid w:val="001A1280"/>
    <w:rsid w:val="001A26A4"/>
    <w:rsid w:val="001A45B7"/>
    <w:rsid w:val="001A6F42"/>
    <w:rsid w:val="001B2271"/>
    <w:rsid w:val="001B3AD9"/>
    <w:rsid w:val="001B5616"/>
    <w:rsid w:val="001B5C13"/>
    <w:rsid w:val="001B6337"/>
    <w:rsid w:val="001B7AAB"/>
    <w:rsid w:val="001C0989"/>
    <w:rsid w:val="001C1194"/>
    <w:rsid w:val="001C1DD7"/>
    <w:rsid w:val="001C225D"/>
    <w:rsid w:val="001C2F35"/>
    <w:rsid w:val="001C408B"/>
    <w:rsid w:val="001C4FBF"/>
    <w:rsid w:val="001C61BF"/>
    <w:rsid w:val="001D2438"/>
    <w:rsid w:val="001D55C5"/>
    <w:rsid w:val="001E1EDA"/>
    <w:rsid w:val="001E2E74"/>
    <w:rsid w:val="001E33BE"/>
    <w:rsid w:val="001E3BA8"/>
    <w:rsid w:val="001E4807"/>
    <w:rsid w:val="001E7098"/>
    <w:rsid w:val="001E716E"/>
    <w:rsid w:val="001F0DD6"/>
    <w:rsid w:val="001F2910"/>
    <w:rsid w:val="00202C26"/>
    <w:rsid w:val="00203AC1"/>
    <w:rsid w:val="00203CC1"/>
    <w:rsid w:val="00204A6E"/>
    <w:rsid w:val="002109C4"/>
    <w:rsid w:val="00210E24"/>
    <w:rsid w:val="00211914"/>
    <w:rsid w:val="00213521"/>
    <w:rsid w:val="00213561"/>
    <w:rsid w:val="00215613"/>
    <w:rsid w:val="00223D99"/>
    <w:rsid w:val="002263EF"/>
    <w:rsid w:val="00226AB3"/>
    <w:rsid w:val="002305A3"/>
    <w:rsid w:val="0023243C"/>
    <w:rsid w:val="00233C5E"/>
    <w:rsid w:val="002370E7"/>
    <w:rsid w:val="00241331"/>
    <w:rsid w:val="00242705"/>
    <w:rsid w:val="00244289"/>
    <w:rsid w:val="00245E1E"/>
    <w:rsid w:val="002543C3"/>
    <w:rsid w:val="00256D24"/>
    <w:rsid w:val="002572AE"/>
    <w:rsid w:val="00257EA4"/>
    <w:rsid w:val="00266845"/>
    <w:rsid w:val="00266DC2"/>
    <w:rsid w:val="00267255"/>
    <w:rsid w:val="00270F68"/>
    <w:rsid w:val="0027152E"/>
    <w:rsid w:val="00280C06"/>
    <w:rsid w:val="0028299A"/>
    <w:rsid w:val="00282E75"/>
    <w:rsid w:val="0028486E"/>
    <w:rsid w:val="00284ADB"/>
    <w:rsid w:val="00291E53"/>
    <w:rsid w:val="00293160"/>
    <w:rsid w:val="0029386A"/>
    <w:rsid w:val="002952C1"/>
    <w:rsid w:val="002A3776"/>
    <w:rsid w:val="002A3DE2"/>
    <w:rsid w:val="002A457F"/>
    <w:rsid w:val="002A4E67"/>
    <w:rsid w:val="002A536B"/>
    <w:rsid w:val="002A5827"/>
    <w:rsid w:val="002A6447"/>
    <w:rsid w:val="002B0348"/>
    <w:rsid w:val="002B05C6"/>
    <w:rsid w:val="002B3DEC"/>
    <w:rsid w:val="002C31D3"/>
    <w:rsid w:val="002C3550"/>
    <w:rsid w:val="002C3E9F"/>
    <w:rsid w:val="002C5F79"/>
    <w:rsid w:val="002D046D"/>
    <w:rsid w:val="002D243C"/>
    <w:rsid w:val="002D6C9D"/>
    <w:rsid w:val="002E10DD"/>
    <w:rsid w:val="002E1349"/>
    <w:rsid w:val="002E198F"/>
    <w:rsid w:val="002E7858"/>
    <w:rsid w:val="002F002D"/>
    <w:rsid w:val="002F3756"/>
    <w:rsid w:val="002F4EF9"/>
    <w:rsid w:val="002F5D6E"/>
    <w:rsid w:val="0030027D"/>
    <w:rsid w:val="003007A3"/>
    <w:rsid w:val="00300C31"/>
    <w:rsid w:val="0030492D"/>
    <w:rsid w:val="00306E56"/>
    <w:rsid w:val="00311E2D"/>
    <w:rsid w:val="00311ED3"/>
    <w:rsid w:val="00313315"/>
    <w:rsid w:val="003137F3"/>
    <w:rsid w:val="00314A67"/>
    <w:rsid w:val="0031521D"/>
    <w:rsid w:val="003157D3"/>
    <w:rsid w:val="003200BA"/>
    <w:rsid w:val="0032015B"/>
    <w:rsid w:val="00320162"/>
    <w:rsid w:val="00320E48"/>
    <w:rsid w:val="00323090"/>
    <w:rsid w:val="003235BD"/>
    <w:rsid w:val="00325DCA"/>
    <w:rsid w:val="003279E3"/>
    <w:rsid w:val="00332734"/>
    <w:rsid w:val="00332CC8"/>
    <w:rsid w:val="00336140"/>
    <w:rsid w:val="0033697F"/>
    <w:rsid w:val="00341C7F"/>
    <w:rsid w:val="003436E6"/>
    <w:rsid w:val="00344A7F"/>
    <w:rsid w:val="003512E6"/>
    <w:rsid w:val="00353032"/>
    <w:rsid w:val="00356CAC"/>
    <w:rsid w:val="003572AD"/>
    <w:rsid w:val="003651E7"/>
    <w:rsid w:val="00366301"/>
    <w:rsid w:val="003669D0"/>
    <w:rsid w:val="003734DC"/>
    <w:rsid w:val="003735E8"/>
    <w:rsid w:val="0037653D"/>
    <w:rsid w:val="00377304"/>
    <w:rsid w:val="00383000"/>
    <w:rsid w:val="00383511"/>
    <w:rsid w:val="00383D69"/>
    <w:rsid w:val="00383DBF"/>
    <w:rsid w:val="00383E81"/>
    <w:rsid w:val="00385306"/>
    <w:rsid w:val="0038625B"/>
    <w:rsid w:val="003870E8"/>
    <w:rsid w:val="003872C9"/>
    <w:rsid w:val="00387A43"/>
    <w:rsid w:val="003900EF"/>
    <w:rsid w:val="00390C81"/>
    <w:rsid w:val="00392228"/>
    <w:rsid w:val="003A46D1"/>
    <w:rsid w:val="003B4A5E"/>
    <w:rsid w:val="003B4C88"/>
    <w:rsid w:val="003B4D6A"/>
    <w:rsid w:val="003B6095"/>
    <w:rsid w:val="003C21F7"/>
    <w:rsid w:val="003C7057"/>
    <w:rsid w:val="003D0742"/>
    <w:rsid w:val="003D1954"/>
    <w:rsid w:val="003D254D"/>
    <w:rsid w:val="003D4F57"/>
    <w:rsid w:val="003D6D85"/>
    <w:rsid w:val="003E1B9B"/>
    <w:rsid w:val="003E2274"/>
    <w:rsid w:val="003E2CE3"/>
    <w:rsid w:val="003E4418"/>
    <w:rsid w:val="003E52D7"/>
    <w:rsid w:val="003E5716"/>
    <w:rsid w:val="003E5778"/>
    <w:rsid w:val="003E5E3E"/>
    <w:rsid w:val="003E6A5A"/>
    <w:rsid w:val="003E7689"/>
    <w:rsid w:val="003F25E7"/>
    <w:rsid w:val="003F4083"/>
    <w:rsid w:val="003F40B1"/>
    <w:rsid w:val="003F6A1C"/>
    <w:rsid w:val="004038AE"/>
    <w:rsid w:val="0040675E"/>
    <w:rsid w:val="004079F3"/>
    <w:rsid w:val="00410B4A"/>
    <w:rsid w:val="00411134"/>
    <w:rsid w:val="004124D7"/>
    <w:rsid w:val="00412786"/>
    <w:rsid w:val="0041713D"/>
    <w:rsid w:val="00420090"/>
    <w:rsid w:val="00422096"/>
    <w:rsid w:val="004235AA"/>
    <w:rsid w:val="00424A2E"/>
    <w:rsid w:val="004302AF"/>
    <w:rsid w:val="004307F0"/>
    <w:rsid w:val="00432B6B"/>
    <w:rsid w:val="0043552F"/>
    <w:rsid w:val="004355B3"/>
    <w:rsid w:val="004357CD"/>
    <w:rsid w:val="00441974"/>
    <w:rsid w:val="004420BC"/>
    <w:rsid w:val="00443FCC"/>
    <w:rsid w:val="004509F5"/>
    <w:rsid w:val="0045189E"/>
    <w:rsid w:val="004545E1"/>
    <w:rsid w:val="00457276"/>
    <w:rsid w:val="00457370"/>
    <w:rsid w:val="0045740A"/>
    <w:rsid w:val="00464760"/>
    <w:rsid w:val="00464A92"/>
    <w:rsid w:val="00465C91"/>
    <w:rsid w:val="004664EC"/>
    <w:rsid w:val="00466E16"/>
    <w:rsid w:val="004672F5"/>
    <w:rsid w:val="0047037E"/>
    <w:rsid w:val="00471BF7"/>
    <w:rsid w:val="00473BCF"/>
    <w:rsid w:val="00474F41"/>
    <w:rsid w:val="004765AA"/>
    <w:rsid w:val="00476DCE"/>
    <w:rsid w:val="00485197"/>
    <w:rsid w:val="00485BEC"/>
    <w:rsid w:val="00486E91"/>
    <w:rsid w:val="00487C43"/>
    <w:rsid w:val="0049336D"/>
    <w:rsid w:val="0049487D"/>
    <w:rsid w:val="0049628B"/>
    <w:rsid w:val="00497C4B"/>
    <w:rsid w:val="004A1E49"/>
    <w:rsid w:val="004A2A92"/>
    <w:rsid w:val="004A357B"/>
    <w:rsid w:val="004A69A4"/>
    <w:rsid w:val="004B2305"/>
    <w:rsid w:val="004B47BC"/>
    <w:rsid w:val="004B5E50"/>
    <w:rsid w:val="004B671B"/>
    <w:rsid w:val="004B7513"/>
    <w:rsid w:val="004C1957"/>
    <w:rsid w:val="004C3011"/>
    <w:rsid w:val="004C49B8"/>
    <w:rsid w:val="004C643C"/>
    <w:rsid w:val="004C6EB7"/>
    <w:rsid w:val="004D1B6D"/>
    <w:rsid w:val="004D2BD6"/>
    <w:rsid w:val="004D6905"/>
    <w:rsid w:val="004E234D"/>
    <w:rsid w:val="004E3CAC"/>
    <w:rsid w:val="004E6BA1"/>
    <w:rsid w:val="004E7428"/>
    <w:rsid w:val="004F558B"/>
    <w:rsid w:val="004F5BEA"/>
    <w:rsid w:val="004F5CB0"/>
    <w:rsid w:val="00501DA8"/>
    <w:rsid w:val="00503A89"/>
    <w:rsid w:val="005040DA"/>
    <w:rsid w:val="005056C1"/>
    <w:rsid w:val="005063B5"/>
    <w:rsid w:val="005102E1"/>
    <w:rsid w:val="00511353"/>
    <w:rsid w:val="00512D20"/>
    <w:rsid w:val="00522E58"/>
    <w:rsid w:val="00523F9E"/>
    <w:rsid w:val="005246E0"/>
    <w:rsid w:val="005251D2"/>
    <w:rsid w:val="00531331"/>
    <w:rsid w:val="00534536"/>
    <w:rsid w:val="005352DB"/>
    <w:rsid w:val="005373F2"/>
    <w:rsid w:val="0053742C"/>
    <w:rsid w:val="00541127"/>
    <w:rsid w:val="0054288C"/>
    <w:rsid w:val="00542918"/>
    <w:rsid w:val="00542E46"/>
    <w:rsid w:val="00543B6B"/>
    <w:rsid w:val="005453D1"/>
    <w:rsid w:val="0054592E"/>
    <w:rsid w:val="00545F0C"/>
    <w:rsid w:val="00546025"/>
    <w:rsid w:val="00551AE4"/>
    <w:rsid w:val="00551BE6"/>
    <w:rsid w:val="00554036"/>
    <w:rsid w:val="00555523"/>
    <w:rsid w:val="00556112"/>
    <w:rsid w:val="00560FEF"/>
    <w:rsid w:val="00561CAF"/>
    <w:rsid w:val="00561DEF"/>
    <w:rsid w:val="005629B0"/>
    <w:rsid w:val="00563E46"/>
    <w:rsid w:val="00565D6C"/>
    <w:rsid w:val="00566AD9"/>
    <w:rsid w:val="00567024"/>
    <w:rsid w:val="00572366"/>
    <w:rsid w:val="0057524C"/>
    <w:rsid w:val="00575975"/>
    <w:rsid w:val="00575BB9"/>
    <w:rsid w:val="0057727F"/>
    <w:rsid w:val="0058120F"/>
    <w:rsid w:val="005829F9"/>
    <w:rsid w:val="00582E14"/>
    <w:rsid w:val="00585BD9"/>
    <w:rsid w:val="00587EEE"/>
    <w:rsid w:val="005926A3"/>
    <w:rsid w:val="005947EB"/>
    <w:rsid w:val="005A6F30"/>
    <w:rsid w:val="005A7F25"/>
    <w:rsid w:val="005B53D1"/>
    <w:rsid w:val="005B7319"/>
    <w:rsid w:val="005B7E58"/>
    <w:rsid w:val="005C3CBE"/>
    <w:rsid w:val="005C3FFA"/>
    <w:rsid w:val="005D2BA2"/>
    <w:rsid w:val="005D32E5"/>
    <w:rsid w:val="005D5AB2"/>
    <w:rsid w:val="005D6D85"/>
    <w:rsid w:val="005E3E5F"/>
    <w:rsid w:val="005E50A1"/>
    <w:rsid w:val="005E50B7"/>
    <w:rsid w:val="005F0A4C"/>
    <w:rsid w:val="005F339B"/>
    <w:rsid w:val="005F3CF4"/>
    <w:rsid w:val="005F538B"/>
    <w:rsid w:val="006005B6"/>
    <w:rsid w:val="0060381E"/>
    <w:rsid w:val="00603BE0"/>
    <w:rsid w:val="00607506"/>
    <w:rsid w:val="0061025E"/>
    <w:rsid w:val="006119CE"/>
    <w:rsid w:val="00613755"/>
    <w:rsid w:val="00616B0A"/>
    <w:rsid w:val="00620464"/>
    <w:rsid w:val="0062198E"/>
    <w:rsid w:val="00621A60"/>
    <w:rsid w:val="00626849"/>
    <w:rsid w:val="00627599"/>
    <w:rsid w:val="00630E40"/>
    <w:rsid w:val="006329B6"/>
    <w:rsid w:val="00634A9C"/>
    <w:rsid w:val="00635BB8"/>
    <w:rsid w:val="00636AFE"/>
    <w:rsid w:val="00640199"/>
    <w:rsid w:val="00643C77"/>
    <w:rsid w:val="00652B14"/>
    <w:rsid w:val="00653BBD"/>
    <w:rsid w:val="0065531F"/>
    <w:rsid w:val="006575D1"/>
    <w:rsid w:val="0066089F"/>
    <w:rsid w:val="00661AF6"/>
    <w:rsid w:val="006624C8"/>
    <w:rsid w:val="0066647D"/>
    <w:rsid w:val="006674D4"/>
    <w:rsid w:val="00670B5C"/>
    <w:rsid w:val="00672B05"/>
    <w:rsid w:val="0067435A"/>
    <w:rsid w:val="006745F0"/>
    <w:rsid w:val="0067650A"/>
    <w:rsid w:val="00680AAD"/>
    <w:rsid w:val="00681E45"/>
    <w:rsid w:val="00682EB9"/>
    <w:rsid w:val="00683685"/>
    <w:rsid w:val="00685189"/>
    <w:rsid w:val="006861FB"/>
    <w:rsid w:val="00686567"/>
    <w:rsid w:val="006865C2"/>
    <w:rsid w:val="006902FF"/>
    <w:rsid w:val="00694455"/>
    <w:rsid w:val="0069628E"/>
    <w:rsid w:val="00697DA2"/>
    <w:rsid w:val="006A002F"/>
    <w:rsid w:val="006A2A79"/>
    <w:rsid w:val="006A41EC"/>
    <w:rsid w:val="006A46E9"/>
    <w:rsid w:val="006B09B1"/>
    <w:rsid w:val="006B17BE"/>
    <w:rsid w:val="006C2A7D"/>
    <w:rsid w:val="006C2BE5"/>
    <w:rsid w:val="006C456A"/>
    <w:rsid w:val="006C4B86"/>
    <w:rsid w:val="006C7FF2"/>
    <w:rsid w:val="006D3122"/>
    <w:rsid w:val="006D3884"/>
    <w:rsid w:val="006D6472"/>
    <w:rsid w:val="006E0791"/>
    <w:rsid w:val="006E25FC"/>
    <w:rsid w:val="006E364A"/>
    <w:rsid w:val="006E3CA0"/>
    <w:rsid w:val="006F01F7"/>
    <w:rsid w:val="006F35DA"/>
    <w:rsid w:val="006F3DC7"/>
    <w:rsid w:val="006F4CDB"/>
    <w:rsid w:val="006F5FCB"/>
    <w:rsid w:val="006F70E4"/>
    <w:rsid w:val="006F741F"/>
    <w:rsid w:val="00703FE4"/>
    <w:rsid w:val="00704C4C"/>
    <w:rsid w:val="00705D00"/>
    <w:rsid w:val="007103DB"/>
    <w:rsid w:val="007109D8"/>
    <w:rsid w:val="0071258C"/>
    <w:rsid w:val="00715029"/>
    <w:rsid w:val="00716ADA"/>
    <w:rsid w:val="00724FEB"/>
    <w:rsid w:val="00725ED0"/>
    <w:rsid w:val="00726812"/>
    <w:rsid w:val="00726EE6"/>
    <w:rsid w:val="00727E38"/>
    <w:rsid w:val="0073176A"/>
    <w:rsid w:val="0073318D"/>
    <w:rsid w:val="007404CC"/>
    <w:rsid w:val="00741D49"/>
    <w:rsid w:val="00745DBC"/>
    <w:rsid w:val="00755A00"/>
    <w:rsid w:val="00757B02"/>
    <w:rsid w:val="0076020F"/>
    <w:rsid w:val="0076637F"/>
    <w:rsid w:val="007719BF"/>
    <w:rsid w:val="00771E4A"/>
    <w:rsid w:val="00773229"/>
    <w:rsid w:val="00774A53"/>
    <w:rsid w:val="007770FB"/>
    <w:rsid w:val="00777E5A"/>
    <w:rsid w:val="00782598"/>
    <w:rsid w:val="00786828"/>
    <w:rsid w:val="007901CB"/>
    <w:rsid w:val="00794519"/>
    <w:rsid w:val="00794FC9"/>
    <w:rsid w:val="007A1825"/>
    <w:rsid w:val="007A5C5E"/>
    <w:rsid w:val="007B1A7F"/>
    <w:rsid w:val="007B1C92"/>
    <w:rsid w:val="007B5C08"/>
    <w:rsid w:val="007C13D2"/>
    <w:rsid w:val="007C3C9B"/>
    <w:rsid w:val="007D114B"/>
    <w:rsid w:val="007D1D76"/>
    <w:rsid w:val="007D3339"/>
    <w:rsid w:val="007D51BD"/>
    <w:rsid w:val="007F3252"/>
    <w:rsid w:val="007F53D6"/>
    <w:rsid w:val="007F718C"/>
    <w:rsid w:val="007F71B2"/>
    <w:rsid w:val="00802D99"/>
    <w:rsid w:val="00802E6C"/>
    <w:rsid w:val="00803FD9"/>
    <w:rsid w:val="0080418E"/>
    <w:rsid w:val="00807066"/>
    <w:rsid w:val="00811959"/>
    <w:rsid w:val="00812093"/>
    <w:rsid w:val="00816505"/>
    <w:rsid w:val="00816D49"/>
    <w:rsid w:val="00817AB6"/>
    <w:rsid w:val="00821509"/>
    <w:rsid w:val="00823EEC"/>
    <w:rsid w:val="0082520C"/>
    <w:rsid w:val="00826376"/>
    <w:rsid w:val="0082769F"/>
    <w:rsid w:val="00830D1B"/>
    <w:rsid w:val="00831640"/>
    <w:rsid w:val="00831733"/>
    <w:rsid w:val="00833554"/>
    <w:rsid w:val="00834662"/>
    <w:rsid w:val="0083523F"/>
    <w:rsid w:val="00836B3A"/>
    <w:rsid w:val="008425F5"/>
    <w:rsid w:val="008455EE"/>
    <w:rsid w:val="00846530"/>
    <w:rsid w:val="00847B5E"/>
    <w:rsid w:val="008502AD"/>
    <w:rsid w:val="00850630"/>
    <w:rsid w:val="00850ED6"/>
    <w:rsid w:val="00855C69"/>
    <w:rsid w:val="00856F43"/>
    <w:rsid w:val="008601E3"/>
    <w:rsid w:val="00860F65"/>
    <w:rsid w:val="00861A92"/>
    <w:rsid w:val="00862A1F"/>
    <w:rsid w:val="008639F0"/>
    <w:rsid w:val="008652E2"/>
    <w:rsid w:val="00866451"/>
    <w:rsid w:val="00866B95"/>
    <w:rsid w:val="0086751A"/>
    <w:rsid w:val="00867DE1"/>
    <w:rsid w:val="00872136"/>
    <w:rsid w:val="0087301E"/>
    <w:rsid w:val="00882F5A"/>
    <w:rsid w:val="008902F5"/>
    <w:rsid w:val="00891012"/>
    <w:rsid w:val="0089120C"/>
    <w:rsid w:val="0089394C"/>
    <w:rsid w:val="0089439D"/>
    <w:rsid w:val="008A4D3E"/>
    <w:rsid w:val="008A558A"/>
    <w:rsid w:val="008A76A9"/>
    <w:rsid w:val="008A7869"/>
    <w:rsid w:val="008B0EBD"/>
    <w:rsid w:val="008B327D"/>
    <w:rsid w:val="008B58F1"/>
    <w:rsid w:val="008B5A94"/>
    <w:rsid w:val="008C0742"/>
    <w:rsid w:val="008C0D40"/>
    <w:rsid w:val="008C0DA6"/>
    <w:rsid w:val="008C17DC"/>
    <w:rsid w:val="008C1D10"/>
    <w:rsid w:val="008C4C12"/>
    <w:rsid w:val="008C6F26"/>
    <w:rsid w:val="008C76A6"/>
    <w:rsid w:val="008D1071"/>
    <w:rsid w:val="008D1671"/>
    <w:rsid w:val="008D3F04"/>
    <w:rsid w:val="008D6491"/>
    <w:rsid w:val="008E0C11"/>
    <w:rsid w:val="008E40ED"/>
    <w:rsid w:val="008E78ED"/>
    <w:rsid w:val="008F27CC"/>
    <w:rsid w:val="008F2981"/>
    <w:rsid w:val="008F357F"/>
    <w:rsid w:val="008F3672"/>
    <w:rsid w:val="008F4240"/>
    <w:rsid w:val="008F6B3C"/>
    <w:rsid w:val="009036B0"/>
    <w:rsid w:val="009038E4"/>
    <w:rsid w:val="00903F33"/>
    <w:rsid w:val="00904616"/>
    <w:rsid w:val="0090530B"/>
    <w:rsid w:val="009124EB"/>
    <w:rsid w:val="00913467"/>
    <w:rsid w:val="00914E96"/>
    <w:rsid w:val="00917D9E"/>
    <w:rsid w:val="00922C9D"/>
    <w:rsid w:val="00922D1E"/>
    <w:rsid w:val="00923FEA"/>
    <w:rsid w:val="00927E05"/>
    <w:rsid w:val="00927E12"/>
    <w:rsid w:val="009306E2"/>
    <w:rsid w:val="009326CD"/>
    <w:rsid w:val="00933876"/>
    <w:rsid w:val="00934565"/>
    <w:rsid w:val="0093644C"/>
    <w:rsid w:val="00936A70"/>
    <w:rsid w:val="00937A26"/>
    <w:rsid w:val="009437E7"/>
    <w:rsid w:val="00945A75"/>
    <w:rsid w:val="00947AD9"/>
    <w:rsid w:val="00947C7B"/>
    <w:rsid w:val="00951847"/>
    <w:rsid w:val="009540EB"/>
    <w:rsid w:val="00960818"/>
    <w:rsid w:val="009610F2"/>
    <w:rsid w:val="00961AF0"/>
    <w:rsid w:val="0096242C"/>
    <w:rsid w:val="00962665"/>
    <w:rsid w:val="00963086"/>
    <w:rsid w:val="009714C1"/>
    <w:rsid w:val="0097433C"/>
    <w:rsid w:val="00974D07"/>
    <w:rsid w:val="00975867"/>
    <w:rsid w:val="0098088E"/>
    <w:rsid w:val="0098145D"/>
    <w:rsid w:val="0098317F"/>
    <w:rsid w:val="009832B6"/>
    <w:rsid w:val="009833A2"/>
    <w:rsid w:val="00983493"/>
    <w:rsid w:val="00987083"/>
    <w:rsid w:val="00987517"/>
    <w:rsid w:val="00991842"/>
    <w:rsid w:val="00991B19"/>
    <w:rsid w:val="0099601D"/>
    <w:rsid w:val="0099664A"/>
    <w:rsid w:val="009A009F"/>
    <w:rsid w:val="009A0176"/>
    <w:rsid w:val="009A0676"/>
    <w:rsid w:val="009A124B"/>
    <w:rsid w:val="009A1EF6"/>
    <w:rsid w:val="009A4142"/>
    <w:rsid w:val="009A4F48"/>
    <w:rsid w:val="009B3B32"/>
    <w:rsid w:val="009B45D0"/>
    <w:rsid w:val="009B6A70"/>
    <w:rsid w:val="009B6D0A"/>
    <w:rsid w:val="009B713B"/>
    <w:rsid w:val="009C2A16"/>
    <w:rsid w:val="009C546A"/>
    <w:rsid w:val="009C6F58"/>
    <w:rsid w:val="009D1652"/>
    <w:rsid w:val="009D1D64"/>
    <w:rsid w:val="009D1FE2"/>
    <w:rsid w:val="009D3051"/>
    <w:rsid w:val="009D50C2"/>
    <w:rsid w:val="009D5A74"/>
    <w:rsid w:val="009D6AC2"/>
    <w:rsid w:val="009D6B34"/>
    <w:rsid w:val="009D79EE"/>
    <w:rsid w:val="009E3CE3"/>
    <w:rsid w:val="009E68AF"/>
    <w:rsid w:val="009E6BFA"/>
    <w:rsid w:val="009F1F69"/>
    <w:rsid w:val="009F3B92"/>
    <w:rsid w:val="009F5DAA"/>
    <w:rsid w:val="009F6885"/>
    <w:rsid w:val="009F7243"/>
    <w:rsid w:val="009F7E67"/>
    <w:rsid w:val="00A02D9E"/>
    <w:rsid w:val="00A04CD5"/>
    <w:rsid w:val="00A06FC9"/>
    <w:rsid w:val="00A10AE4"/>
    <w:rsid w:val="00A12A2A"/>
    <w:rsid w:val="00A15601"/>
    <w:rsid w:val="00A15A95"/>
    <w:rsid w:val="00A15DFB"/>
    <w:rsid w:val="00A20D6B"/>
    <w:rsid w:val="00A228F5"/>
    <w:rsid w:val="00A24BE3"/>
    <w:rsid w:val="00A263E3"/>
    <w:rsid w:val="00A278E2"/>
    <w:rsid w:val="00A326B4"/>
    <w:rsid w:val="00A35985"/>
    <w:rsid w:val="00A35F28"/>
    <w:rsid w:val="00A363BF"/>
    <w:rsid w:val="00A41769"/>
    <w:rsid w:val="00A41AE5"/>
    <w:rsid w:val="00A426FA"/>
    <w:rsid w:val="00A52E6B"/>
    <w:rsid w:val="00A541EA"/>
    <w:rsid w:val="00A5673A"/>
    <w:rsid w:val="00A56D0C"/>
    <w:rsid w:val="00A61C68"/>
    <w:rsid w:val="00A655A5"/>
    <w:rsid w:val="00A65C6E"/>
    <w:rsid w:val="00A67C8B"/>
    <w:rsid w:val="00A70CD2"/>
    <w:rsid w:val="00A7296D"/>
    <w:rsid w:val="00A73359"/>
    <w:rsid w:val="00A7519B"/>
    <w:rsid w:val="00A77C2C"/>
    <w:rsid w:val="00A80700"/>
    <w:rsid w:val="00A81D9B"/>
    <w:rsid w:val="00A83880"/>
    <w:rsid w:val="00A86031"/>
    <w:rsid w:val="00A87B3C"/>
    <w:rsid w:val="00A90291"/>
    <w:rsid w:val="00A902AC"/>
    <w:rsid w:val="00A91114"/>
    <w:rsid w:val="00A92789"/>
    <w:rsid w:val="00A932A3"/>
    <w:rsid w:val="00A96511"/>
    <w:rsid w:val="00A9782E"/>
    <w:rsid w:val="00A97E5C"/>
    <w:rsid w:val="00AA286C"/>
    <w:rsid w:val="00AA52A3"/>
    <w:rsid w:val="00AB1811"/>
    <w:rsid w:val="00AB2AF9"/>
    <w:rsid w:val="00AB4CDC"/>
    <w:rsid w:val="00AB4EC9"/>
    <w:rsid w:val="00AB5BAF"/>
    <w:rsid w:val="00AC050A"/>
    <w:rsid w:val="00AC08F6"/>
    <w:rsid w:val="00AC412E"/>
    <w:rsid w:val="00AC48D2"/>
    <w:rsid w:val="00AC4AD3"/>
    <w:rsid w:val="00AC7401"/>
    <w:rsid w:val="00AD0110"/>
    <w:rsid w:val="00AD0BE1"/>
    <w:rsid w:val="00AD0D1B"/>
    <w:rsid w:val="00AD2193"/>
    <w:rsid w:val="00AD3633"/>
    <w:rsid w:val="00AD3E97"/>
    <w:rsid w:val="00AD520D"/>
    <w:rsid w:val="00AD5D44"/>
    <w:rsid w:val="00AD688E"/>
    <w:rsid w:val="00AE1ECF"/>
    <w:rsid w:val="00AE27C7"/>
    <w:rsid w:val="00AE426A"/>
    <w:rsid w:val="00AE70C8"/>
    <w:rsid w:val="00AF38DB"/>
    <w:rsid w:val="00AF458D"/>
    <w:rsid w:val="00AF5A87"/>
    <w:rsid w:val="00B00D4F"/>
    <w:rsid w:val="00B02C4B"/>
    <w:rsid w:val="00B0323C"/>
    <w:rsid w:val="00B04437"/>
    <w:rsid w:val="00B05020"/>
    <w:rsid w:val="00B05049"/>
    <w:rsid w:val="00B06775"/>
    <w:rsid w:val="00B06998"/>
    <w:rsid w:val="00B13A79"/>
    <w:rsid w:val="00B16CC6"/>
    <w:rsid w:val="00B23EB5"/>
    <w:rsid w:val="00B244FD"/>
    <w:rsid w:val="00B334C0"/>
    <w:rsid w:val="00B335A9"/>
    <w:rsid w:val="00B34541"/>
    <w:rsid w:val="00B347AF"/>
    <w:rsid w:val="00B37C21"/>
    <w:rsid w:val="00B40455"/>
    <w:rsid w:val="00B41695"/>
    <w:rsid w:val="00B41805"/>
    <w:rsid w:val="00B43EA3"/>
    <w:rsid w:val="00B46947"/>
    <w:rsid w:val="00B46DC7"/>
    <w:rsid w:val="00B51613"/>
    <w:rsid w:val="00B524C2"/>
    <w:rsid w:val="00B538B5"/>
    <w:rsid w:val="00B54196"/>
    <w:rsid w:val="00B55A76"/>
    <w:rsid w:val="00B5747D"/>
    <w:rsid w:val="00B633FB"/>
    <w:rsid w:val="00B6460B"/>
    <w:rsid w:val="00B65955"/>
    <w:rsid w:val="00B65C66"/>
    <w:rsid w:val="00B672A6"/>
    <w:rsid w:val="00B7079C"/>
    <w:rsid w:val="00B744D8"/>
    <w:rsid w:val="00B75AE0"/>
    <w:rsid w:val="00B75F9E"/>
    <w:rsid w:val="00B76FF7"/>
    <w:rsid w:val="00B80650"/>
    <w:rsid w:val="00B8298A"/>
    <w:rsid w:val="00B82C97"/>
    <w:rsid w:val="00B85353"/>
    <w:rsid w:val="00B93F7D"/>
    <w:rsid w:val="00B95605"/>
    <w:rsid w:val="00BA3554"/>
    <w:rsid w:val="00BA3F05"/>
    <w:rsid w:val="00BA6205"/>
    <w:rsid w:val="00BA6EE8"/>
    <w:rsid w:val="00BA6F24"/>
    <w:rsid w:val="00BA7F30"/>
    <w:rsid w:val="00BB058A"/>
    <w:rsid w:val="00BB2000"/>
    <w:rsid w:val="00BB4EDD"/>
    <w:rsid w:val="00BB68D9"/>
    <w:rsid w:val="00BB7E11"/>
    <w:rsid w:val="00BB7EE8"/>
    <w:rsid w:val="00BC2B2A"/>
    <w:rsid w:val="00BC76FC"/>
    <w:rsid w:val="00BD30AA"/>
    <w:rsid w:val="00BD33C6"/>
    <w:rsid w:val="00BD355D"/>
    <w:rsid w:val="00BD43B7"/>
    <w:rsid w:val="00BD4E7D"/>
    <w:rsid w:val="00BD565D"/>
    <w:rsid w:val="00BD79DD"/>
    <w:rsid w:val="00BE025E"/>
    <w:rsid w:val="00BE42BE"/>
    <w:rsid w:val="00BE57C2"/>
    <w:rsid w:val="00BF0519"/>
    <w:rsid w:val="00BF1292"/>
    <w:rsid w:val="00BF3B46"/>
    <w:rsid w:val="00BF4943"/>
    <w:rsid w:val="00BF6C52"/>
    <w:rsid w:val="00BF6F74"/>
    <w:rsid w:val="00BF7460"/>
    <w:rsid w:val="00C03C00"/>
    <w:rsid w:val="00C03D46"/>
    <w:rsid w:val="00C0655D"/>
    <w:rsid w:val="00C10C0A"/>
    <w:rsid w:val="00C12A33"/>
    <w:rsid w:val="00C12F21"/>
    <w:rsid w:val="00C1399A"/>
    <w:rsid w:val="00C1741D"/>
    <w:rsid w:val="00C20505"/>
    <w:rsid w:val="00C2092A"/>
    <w:rsid w:val="00C2405D"/>
    <w:rsid w:val="00C251EC"/>
    <w:rsid w:val="00C31764"/>
    <w:rsid w:val="00C329F0"/>
    <w:rsid w:val="00C35AC8"/>
    <w:rsid w:val="00C40F9A"/>
    <w:rsid w:val="00C4374A"/>
    <w:rsid w:val="00C4660E"/>
    <w:rsid w:val="00C47AC6"/>
    <w:rsid w:val="00C511B4"/>
    <w:rsid w:val="00C53EA2"/>
    <w:rsid w:val="00C56764"/>
    <w:rsid w:val="00C57001"/>
    <w:rsid w:val="00C61C33"/>
    <w:rsid w:val="00C63F89"/>
    <w:rsid w:val="00C643B5"/>
    <w:rsid w:val="00C73A09"/>
    <w:rsid w:val="00C73DE9"/>
    <w:rsid w:val="00C74690"/>
    <w:rsid w:val="00C76814"/>
    <w:rsid w:val="00C82FFE"/>
    <w:rsid w:val="00C843E8"/>
    <w:rsid w:val="00C8448D"/>
    <w:rsid w:val="00C84579"/>
    <w:rsid w:val="00C847BA"/>
    <w:rsid w:val="00C86727"/>
    <w:rsid w:val="00C90F82"/>
    <w:rsid w:val="00C91B0A"/>
    <w:rsid w:val="00C9230F"/>
    <w:rsid w:val="00C93CDC"/>
    <w:rsid w:val="00C9529F"/>
    <w:rsid w:val="00C963B6"/>
    <w:rsid w:val="00C974BF"/>
    <w:rsid w:val="00CA309F"/>
    <w:rsid w:val="00CA3F86"/>
    <w:rsid w:val="00CA4DA6"/>
    <w:rsid w:val="00CA6D3B"/>
    <w:rsid w:val="00CB1E39"/>
    <w:rsid w:val="00CB3FAD"/>
    <w:rsid w:val="00CB4D64"/>
    <w:rsid w:val="00CB525D"/>
    <w:rsid w:val="00CC50F2"/>
    <w:rsid w:val="00CC68F3"/>
    <w:rsid w:val="00CC6B54"/>
    <w:rsid w:val="00CC74B6"/>
    <w:rsid w:val="00CC7A28"/>
    <w:rsid w:val="00CE0307"/>
    <w:rsid w:val="00CE2DD7"/>
    <w:rsid w:val="00CE4682"/>
    <w:rsid w:val="00CE47B0"/>
    <w:rsid w:val="00CE7C28"/>
    <w:rsid w:val="00CE7CF9"/>
    <w:rsid w:val="00CF0EE8"/>
    <w:rsid w:val="00CF1727"/>
    <w:rsid w:val="00CF2805"/>
    <w:rsid w:val="00CF37EA"/>
    <w:rsid w:val="00CF6B71"/>
    <w:rsid w:val="00D01381"/>
    <w:rsid w:val="00D03019"/>
    <w:rsid w:val="00D03B59"/>
    <w:rsid w:val="00D03F47"/>
    <w:rsid w:val="00D048F6"/>
    <w:rsid w:val="00D04956"/>
    <w:rsid w:val="00D05107"/>
    <w:rsid w:val="00D07603"/>
    <w:rsid w:val="00D116F2"/>
    <w:rsid w:val="00D167EE"/>
    <w:rsid w:val="00D20135"/>
    <w:rsid w:val="00D21EA7"/>
    <w:rsid w:val="00D21FD8"/>
    <w:rsid w:val="00D2413B"/>
    <w:rsid w:val="00D2684B"/>
    <w:rsid w:val="00D26AB0"/>
    <w:rsid w:val="00D31177"/>
    <w:rsid w:val="00D31CA2"/>
    <w:rsid w:val="00D32FAE"/>
    <w:rsid w:val="00D33DB9"/>
    <w:rsid w:val="00D344D8"/>
    <w:rsid w:val="00D368EE"/>
    <w:rsid w:val="00D37CA5"/>
    <w:rsid w:val="00D41C7B"/>
    <w:rsid w:val="00D5232D"/>
    <w:rsid w:val="00D5434A"/>
    <w:rsid w:val="00D54BB5"/>
    <w:rsid w:val="00D5588A"/>
    <w:rsid w:val="00D5759C"/>
    <w:rsid w:val="00D63E4C"/>
    <w:rsid w:val="00D64F84"/>
    <w:rsid w:val="00D65B31"/>
    <w:rsid w:val="00D7119C"/>
    <w:rsid w:val="00D75A54"/>
    <w:rsid w:val="00D77BA9"/>
    <w:rsid w:val="00D82A72"/>
    <w:rsid w:val="00D834F2"/>
    <w:rsid w:val="00D83BAB"/>
    <w:rsid w:val="00D8530E"/>
    <w:rsid w:val="00D859CC"/>
    <w:rsid w:val="00D85FE6"/>
    <w:rsid w:val="00D86B72"/>
    <w:rsid w:val="00D91720"/>
    <w:rsid w:val="00D92831"/>
    <w:rsid w:val="00D96721"/>
    <w:rsid w:val="00D96C93"/>
    <w:rsid w:val="00DA18E7"/>
    <w:rsid w:val="00DA1919"/>
    <w:rsid w:val="00DA1F05"/>
    <w:rsid w:val="00DA1F0A"/>
    <w:rsid w:val="00DA4978"/>
    <w:rsid w:val="00DA57A0"/>
    <w:rsid w:val="00DA63B0"/>
    <w:rsid w:val="00DA688A"/>
    <w:rsid w:val="00DA6C15"/>
    <w:rsid w:val="00DB1D3B"/>
    <w:rsid w:val="00DB35A9"/>
    <w:rsid w:val="00DB4CA0"/>
    <w:rsid w:val="00DB55D8"/>
    <w:rsid w:val="00DB6A43"/>
    <w:rsid w:val="00DB7743"/>
    <w:rsid w:val="00DC1F68"/>
    <w:rsid w:val="00DC253B"/>
    <w:rsid w:val="00DC7E0D"/>
    <w:rsid w:val="00DD1607"/>
    <w:rsid w:val="00DD1C42"/>
    <w:rsid w:val="00DD266E"/>
    <w:rsid w:val="00DD297E"/>
    <w:rsid w:val="00DD4137"/>
    <w:rsid w:val="00DD4451"/>
    <w:rsid w:val="00DE08DC"/>
    <w:rsid w:val="00DE114B"/>
    <w:rsid w:val="00DE3233"/>
    <w:rsid w:val="00DE57E4"/>
    <w:rsid w:val="00DE5F82"/>
    <w:rsid w:val="00DE73B0"/>
    <w:rsid w:val="00DF23B3"/>
    <w:rsid w:val="00DF427A"/>
    <w:rsid w:val="00DF46FD"/>
    <w:rsid w:val="00DF7D10"/>
    <w:rsid w:val="00E008F0"/>
    <w:rsid w:val="00E015CE"/>
    <w:rsid w:val="00E01D6B"/>
    <w:rsid w:val="00E041F4"/>
    <w:rsid w:val="00E0503D"/>
    <w:rsid w:val="00E05492"/>
    <w:rsid w:val="00E05D86"/>
    <w:rsid w:val="00E07A9F"/>
    <w:rsid w:val="00E101D3"/>
    <w:rsid w:val="00E11554"/>
    <w:rsid w:val="00E1170D"/>
    <w:rsid w:val="00E13593"/>
    <w:rsid w:val="00E14361"/>
    <w:rsid w:val="00E15E40"/>
    <w:rsid w:val="00E15ED9"/>
    <w:rsid w:val="00E16055"/>
    <w:rsid w:val="00E203B6"/>
    <w:rsid w:val="00E2468E"/>
    <w:rsid w:val="00E25728"/>
    <w:rsid w:val="00E26DA7"/>
    <w:rsid w:val="00E30A95"/>
    <w:rsid w:val="00E3139D"/>
    <w:rsid w:val="00E319E7"/>
    <w:rsid w:val="00E31FCD"/>
    <w:rsid w:val="00E33009"/>
    <w:rsid w:val="00E40889"/>
    <w:rsid w:val="00E40DD5"/>
    <w:rsid w:val="00E44227"/>
    <w:rsid w:val="00E45046"/>
    <w:rsid w:val="00E4673D"/>
    <w:rsid w:val="00E503D1"/>
    <w:rsid w:val="00E50F04"/>
    <w:rsid w:val="00E54975"/>
    <w:rsid w:val="00E563EA"/>
    <w:rsid w:val="00E6045F"/>
    <w:rsid w:val="00E63EE2"/>
    <w:rsid w:val="00E6484F"/>
    <w:rsid w:val="00E6613C"/>
    <w:rsid w:val="00E664D7"/>
    <w:rsid w:val="00E6650C"/>
    <w:rsid w:val="00E67194"/>
    <w:rsid w:val="00E7215B"/>
    <w:rsid w:val="00E74753"/>
    <w:rsid w:val="00E74FFB"/>
    <w:rsid w:val="00E76D2E"/>
    <w:rsid w:val="00E774F0"/>
    <w:rsid w:val="00E81FF7"/>
    <w:rsid w:val="00E823CC"/>
    <w:rsid w:val="00E855EB"/>
    <w:rsid w:val="00E8646A"/>
    <w:rsid w:val="00E93CE4"/>
    <w:rsid w:val="00E93E76"/>
    <w:rsid w:val="00E95AC8"/>
    <w:rsid w:val="00EA3432"/>
    <w:rsid w:val="00EA6E8C"/>
    <w:rsid w:val="00EB1DF3"/>
    <w:rsid w:val="00EB5485"/>
    <w:rsid w:val="00EB5B28"/>
    <w:rsid w:val="00EC64A4"/>
    <w:rsid w:val="00ED1098"/>
    <w:rsid w:val="00ED113A"/>
    <w:rsid w:val="00ED6ACC"/>
    <w:rsid w:val="00EE1CEF"/>
    <w:rsid w:val="00EE5729"/>
    <w:rsid w:val="00EE7F5D"/>
    <w:rsid w:val="00EF009C"/>
    <w:rsid w:val="00EF1971"/>
    <w:rsid w:val="00EF3158"/>
    <w:rsid w:val="00EF4E12"/>
    <w:rsid w:val="00F0139C"/>
    <w:rsid w:val="00F01B52"/>
    <w:rsid w:val="00F05044"/>
    <w:rsid w:val="00F05BC7"/>
    <w:rsid w:val="00F06083"/>
    <w:rsid w:val="00F10062"/>
    <w:rsid w:val="00F113AE"/>
    <w:rsid w:val="00F12108"/>
    <w:rsid w:val="00F13296"/>
    <w:rsid w:val="00F16979"/>
    <w:rsid w:val="00F21932"/>
    <w:rsid w:val="00F21A94"/>
    <w:rsid w:val="00F223D4"/>
    <w:rsid w:val="00F22520"/>
    <w:rsid w:val="00F22E25"/>
    <w:rsid w:val="00F23F08"/>
    <w:rsid w:val="00F23FF3"/>
    <w:rsid w:val="00F24206"/>
    <w:rsid w:val="00F24C86"/>
    <w:rsid w:val="00F25F90"/>
    <w:rsid w:val="00F265FD"/>
    <w:rsid w:val="00F26B72"/>
    <w:rsid w:val="00F27D9D"/>
    <w:rsid w:val="00F34D38"/>
    <w:rsid w:val="00F36887"/>
    <w:rsid w:val="00F36F13"/>
    <w:rsid w:val="00F40192"/>
    <w:rsid w:val="00F4266B"/>
    <w:rsid w:val="00F4286C"/>
    <w:rsid w:val="00F42C74"/>
    <w:rsid w:val="00F437C9"/>
    <w:rsid w:val="00F5095C"/>
    <w:rsid w:val="00F51B72"/>
    <w:rsid w:val="00F5493D"/>
    <w:rsid w:val="00F60A04"/>
    <w:rsid w:val="00F61706"/>
    <w:rsid w:val="00F63348"/>
    <w:rsid w:val="00F66F7B"/>
    <w:rsid w:val="00F70108"/>
    <w:rsid w:val="00F702DD"/>
    <w:rsid w:val="00F70335"/>
    <w:rsid w:val="00F77AD7"/>
    <w:rsid w:val="00F8654E"/>
    <w:rsid w:val="00F9067D"/>
    <w:rsid w:val="00F907E6"/>
    <w:rsid w:val="00F9152A"/>
    <w:rsid w:val="00F91A63"/>
    <w:rsid w:val="00F96B46"/>
    <w:rsid w:val="00F973E5"/>
    <w:rsid w:val="00FA0C74"/>
    <w:rsid w:val="00FA1427"/>
    <w:rsid w:val="00FA2688"/>
    <w:rsid w:val="00FA3F2C"/>
    <w:rsid w:val="00FA4495"/>
    <w:rsid w:val="00FA6174"/>
    <w:rsid w:val="00FB01DB"/>
    <w:rsid w:val="00FB0B35"/>
    <w:rsid w:val="00FB24AE"/>
    <w:rsid w:val="00FB339D"/>
    <w:rsid w:val="00FB59F4"/>
    <w:rsid w:val="00FB64C0"/>
    <w:rsid w:val="00FC0DF0"/>
    <w:rsid w:val="00FC0F09"/>
    <w:rsid w:val="00FC388E"/>
    <w:rsid w:val="00FC434C"/>
    <w:rsid w:val="00FC555C"/>
    <w:rsid w:val="00FC73EB"/>
    <w:rsid w:val="00FC77E9"/>
    <w:rsid w:val="00FC7B38"/>
    <w:rsid w:val="00FD0423"/>
    <w:rsid w:val="00FD1BDC"/>
    <w:rsid w:val="00FD3A61"/>
    <w:rsid w:val="00FD4B08"/>
    <w:rsid w:val="00FD5DE5"/>
    <w:rsid w:val="00FE2033"/>
    <w:rsid w:val="00FE3B80"/>
    <w:rsid w:val="00FF008B"/>
    <w:rsid w:val="00FF0481"/>
    <w:rsid w:val="00FF221A"/>
    <w:rsid w:val="00FF4852"/>
    <w:rsid w:val="00FF5C0F"/>
    <w:rsid w:val="00FF7831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0EC6F"/>
  <w15:chartTrackingRefBased/>
  <w15:docId w15:val="{45C6B718-F223-47E7-B64F-6B11132D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F051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6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A6F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3EEC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443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43FC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157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7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57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5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57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7D3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7D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57D3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57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57D3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5E50A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1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dbag.org.uk/site_media/uploads/The_Final_Carbon_Fatcat_Full_Report.pdf" TargetMode="External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o.gl/forms/W7Bc0UpGl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andbag.org.uk/site_media/uploads/The_Final_Carbon_Fatcat_Full_Report_1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lexandru\Dropbox%20(SCC)\Alex-SB\Topics\ETS%20post-2020\Topics\1512%20Cement\Data\151201%20Cement%20sector%20dat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Alexandru\Dropbox%20(SCC)\Alex-SB\Topics\ETS%20post-2020\Topics\1512%20Cement\Data\160309%20Cement%20compani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1"/>
          <c:order val="11"/>
          <c:tx>
            <c:strRef>
              <c:f>'Ph 3'!$G$80</c:f>
              <c:strCache>
                <c:ptCount val="1"/>
                <c:pt idx="0">
                  <c:v>Phase 3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  <a:effectLst/>
          </c:spPr>
          <c:invertIfNegative val="0"/>
          <c:cat>
            <c:numRef>
              <c:f>'Ph 3'!$H$38:$T$38</c:f>
              <c:numCache>
                <c:formatCode>General</c:formatCode>
                <c:ptCount val="13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</c:numCache>
            </c:numRef>
          </c:cat>
          <c:val>
            <c:numRef>
              <c:f>'Ph 3'!$H$80:$T$80</c:f>
              <c:numCache>
                <c:formatCode>General</c:formatCode>
                <c:ptCount val="13"/>
                <c:pt idx="5" formatCode="#,##0.00">
                  <c:v>5</c:v>
                </c:pt>
                <c:pt idx="6" formatCode="#,##0.00">
                  <c:v>5</c:v>
                </c:pt>
                <c:pt idx="7" formatCode="#,##0.00">
                  <c:v>5</c:v>
                </c:pt>
                <c:pt idx="8" formatCode="#,##0.00">
                  <c:v>5</c:v>
                </c:pt>
                <c:pt idx="9" formatCode="#,##0.00">
                  <c:v>5</c:v>
                </c:pt>
                <c:pt idx="10" formatCode="#,##0.00">
                  <c:v>5</c:v>
                </c:pt>
                <c:pt idx="11" formatCode="#,##0.00">
                  <c:v>5</c:v>
                </c:pt>
                <c:pt idx="12" formatCode="#,##0.0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3E-424F-8804-AB3191A171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521428944"/>
        <c:axId val="521428552"/>
      </c:barChart>
      <c:lineChart>
        <c:grouping val="standard"/>
        <c:varyColors val="0"/>
        <c:ser>
          <c:idx val="1"/>
          <c:order val="0"/>
          <c:tx>
            <c:strRef>
              <c:f>'Ph 3'!$G$70</c:f>
              <c:strCache>
                <c:ptCount val="1"/>
                <c:pt idx="0">
                  <c:v>Cement</c:v>
                </c:pt>
              </c:strCache>
            </c:strRef>
          </c:tx>
          <c:spPr>
            <a:ln w="63500" cap="rnd">
              <a:solidFill>
                <a:srgbClr val="002060"/>
              </a:solidFill>
              <a:round/>
            </a:ln>
            <a:effectLst/>
          </c:spPr>
          <c:marker>
            <c:symbol val="none"/>
          </c:marker>
          <c:cat>
            <c:numRef>
              <c:f>'Ph 3'!$H$38:$T$38</c:f>
              <c:numCache>
                <c:formatCode>General</c:formatCode>
                <c:ptCount val="13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</c:numCache>
            </c:numRef>
          </c:cat>
          <c:val>
            <c:numRef>
              <c:f>'Ph 3'!$H$70:$T$70</c:f>
              <c:numCache>
                <c:formatCode>#,##0.00</c:formatCode>
                <c:ptCount val="13"/>
                <c:pt idx="0">
                  <c:v>9.1286471383384832E-2</c:v>
                </c:pt>
                <c:pt idx="1">
                  <c:v>0.46649381884505053</c:v>
                </c:pt>
                <c:pt idx="2">
                  <c:v>0.85656417906035009</c:v>
                </c:pt>
                <c:pt idx="3">
                  <c:v>1.2634438521319875</c:v>
                </c:pt>
                <c:pt idx="4">
                  <c:v>1.8377025780532903</c:v>
                </c:pt>
                <c:pt idx="5">
                  <c:v>2.1873500740953009</c:v>
                </c:pt>
                <c:pt idx="6">
                  <c:v>2.2191564991461008</c:v>
                </c:pt>
                <c:pt idx="7">
                  <c:v>2.3283183511014589</c:v>
                </c:pt>
                <c:pt idx="8">
                  <c:v>2.4170140166270668</c:v>
                </c:pt>
                <c:pt idx="9">
                  <c:v>2.4850268545903158</c:v>
                </c:pt>
                <c:pt idx="10">
                  <c:v>2.5321591546001256</c:v>
                </c:pt>
                <c:pt idx="11">
                  <c:v>2.5581547701704355</c:v>
                </c:pt>
                <c:pt idx="12">
                  <c:v>2.5629429973862363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33E-424F-8804-AB3191A171C1}"/>
            </c:ext>
          </c:extLst>
        </c:ser>
        <c:ser>
          <c:idx val="7"/>
          <c:order val="1"/>
          <c:tx>
            <c:strRef>
              <c:f>'Ph 3'!$G$76</c:f>
              <c:strCache>
                <c:ptCount val="1"/>
                <c:pt idx="0">
                  <c:v>Lime and plaster</c:v>
                </c:pt>
              </c:strCache>
            </c:strRef>
          </c:tx>
          <c:spPr>
            <a:ln w="28575" cap="rnd">
              <a:solidFill>
                <a:srgbClr val="002060"/>
              </a:solidFill>
              <a:prstDash val="sysDot"/>
              <a:round/>
            </a:ln>
            <a:effectLst/>
          </c:spPr>
          <c:marker>
            <c:symbol val="none"/>
          </c:marker>
          <c:cat>
            <c:numRef>
              <c:f>'Ph 3'!$H$38:$T$38</c:f>
              <c:numCache>
                <c:formatCode>General</c:formatCode>
                <c:ptCount val="13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</c:numCache>
            </c:numRef>
          </c:cat>
          <c:val>
            <c:numRef>
              <c:f>'Ph 3'!$H$76:$T$76</c:f>
              <c:numCache>
                <c:formatCode>#,##0.00</c:formatCode>
                <c:ptCount val="13"/>
                <c:pt idx="0">
                  <c:v>0.14703836172137341</c:v>
                </c:pt>
                <c:pt idx="1">
                  <c:v>0.66286161780138431</c:v>
                </c:pt>
                <c:pt idx="2">
                  <c:v>0.9345170520167736</c:v>
                </c:pt>
                <c:pt idx="3">
                  <c:v>1.1726166751099243</c:v>
                </c:pt>
                <c:pt idx="4">
                  <c:v>1.6476216691468091</c:v>
                </c:pt>
                <c:pt idx="5">
                  <c:v>1.6341976911270537</c:v>
                </c:pt>
                <c:pt idx="6">
                  <c:v>1.6245518928626208</c:v>
                </c:pt>
                <c:pt idx="7">
                  <c:v>1.5953450977941896</c:v>
                </c:pt>
                <c:pt idx="8">
                  <c:v>1.546053996786535</c:v>
                </c:pt>
                <c:pt idx="9">
                  <c:v>1.4787174098544724</c:v>
                </c:pt>
                <c:pt idx="10">
                  <c:v>1.3931653751542838</c:v>
                </c:pt>
                <c:pt idx="11">
                  <c:v>1.2891776111908468</c:v>
                </c:pt>
                <c:pt idx="12">
                  <c:v>1.1666974893534408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33E-424F-8804-AB3191A171C1}"/>
            </c:ext>
          </c:extLst>
        </c:ser>
        <c:ser>
          <c:idx val="0"/>
          <c:order val="2"/>
          <c:tx>
            <c:strRef>
              <c:f>'Ph 3'!$G$69</c:f>
              <c:strCache>
                <c:ptCount val="1"/>
                <c:pt idx="0">
                  <c:v>Iron and steel (EUTL)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'Ph 3'!$H$38:$T$38</c:f>
              <c:numCache>
                <c:formatCode>General</c:formatCode>
                <c:ptCount val="13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</c:numCache>
            </c:numRef>
          </c:cat>
          <c:val>
            <c:numRef>
              <c:f>'Ph 3'!$H$69:$T$69</c:f>
              <c:numCache>
                <c:formatCode>#,##0.00</c:formatCode>
                <c:ptCount val="13"/>
                <c:pt idx="0">
                  <c:v>-2.1291423058158402E-3</c:v>
                </c:pt>
                <c:pt idx="1">
                  <c:v>0.57599620384460359</c:v>
                </c:pt>
                <c:pt idx="2">
                  <c:v>0.71497638070289526</c:v>
                </c:pt>
                <c:pt idx="3">
                  <c:v>1.300799037547145</c:v>
                </c:pt>
                <c:pt idx="4">
                  <c:v>2.070930329858685</c:v>
                </c:pt>
                <c:pt idx="5">
                  <c:v>1.6879863620260263</c:v>
                </c:pt>
                <c:pt idx="6">
                  <c:v>1.5844084395576947</c:v>
                </c:pt>
                <c:pt idx="7">
                  <c:v>1.4734246289000665</c:v>
                </c:pt>
                <c:pt idx="8">
                  <c:v>1.3381989694940557</c:v>
                </c:pt>
                <c:pt idx="9">
                  <c:v>1.1785142376895736</c:v>
                </c:pt>
                <c:pt idx="10">
                  <c:v>0.99416325719183773</c:v>
                </c:pt>
                <c:pt idx="11">
                  <c:v>0.78487088834024965</c:v>
                </c:pt>
                <c:pt idx="12">
                  <c:v>0.55057754199510645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33E-424F-8804-AB3191A171C1}"/>
            </c:ext>
          </c:extLst>
        </c:ser>
        <c:ser>
          <c:idx val="2"/>
          <c:order val="3"/>
          <c:tx>
            <c:strRef>
              <c:f>'Ph 3'!$G$71</c:f>
              <c:strCache>
                <c:ptCount val="1"/>
                <c:pt idx="0">
                  <c:v>Refineries</c:v>
                </c:pt>
              </c:strCache>
            </c:strRef>
          </c:tx>
          <c:spPr>
            <a:ln w="28575" cap="rnd">
              <a:solidFill>
                <a:srgbClr val="FFC000"/>
              </a:solidFill>
              <a:prstDash val="solid"/>
              <a:round/>
            </a:ln>
            <a:effectLst/>
          </c:spPr>
          <c:marker>
            <c:symbol val="none"/>
          </c:marker>
          <c:cat>
            <c:numRef>
              <c:f>'Ph 3'!$H$38:$T$38</c:f>
              <c:numCache>
                <c:formatCode>General</c:formatCode>
                <c:ptCount val="13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</c:numCache>
            </c:numRef>
          </c:cat>
          <c:val>
            <c:numRef>
              <c:f>'Ph 3'!$H$71:$T$71</c:f>
              <c:numCache>
                <c:formatCode>#,##0.00</c:formatCode>
                <c:ptCount val="13"/>
                <c:pt idx="0">
                  <c:v>-2.4987118781954202E-2</c:v>
                </c:pt>
                <c:pt idx="1">
                  <c:v>1.3036867191295522E-2</c:v>
                </c:pt>
                <c:pt idx="2">
                  <c:v>9.9444391727753351E-2</c:v>
                </c:pt>
                <c:pt idx="3">
                  <c:v>0.18035253035900539</c:v>
                </c:pt>
                <c:pt idx="4">
                  <c:v>0.33828823550444498</c:v>
                </c:pt>
                <c:pt idx="5">
                  <c:v>0.15746188005109135</c:v>
                </c:pt>
                <c:pt idx="6">
                  <c:v>8.3967620151403684E-3</c:v>
                </c:pt>
                <c:pt idx="7">
                  <c:v>-0.16474136191684077</c:v>
                </c:pt>
                <c:pt idx="8">
                  <c:v>-0.35369172709491042</c:v>
                </c:pt>
                <c:pt idx="9">
                  <c:v>-0.55845892101318351</c:v>
                </c:pt>
                <c:pt idx="10">
                  <c:v>-0.77916645015318964</c:v>
                </c:pt>
                <c:pt idx="11">
                  <c:v>-1.0159806092425807</c:v>
                </c:pt>
                <c:pt idx="12">
                  <c:v>-1.2689328918539411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F33E-424F-8804-AB3191A171C1}"/>
            </c:ext>
          </c:extLst>
        </c:ser>
        <c:ser>
          <c:idx val="6"/>
          <c:order val="6"/>
          <c:tx>
            <c:strRef>
              <c:f>'Ph 3'!$G$75</c:f>
              <c:strCache>
                <c:ptCount val="1"/>
                <c:pt idx="0">
                  <c:v>Paper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'Ph 3'!$H$38:$T$38</c:f>
              <c:numCache>
                <c:formatCode>General</c:formatCode>
                <c:ptCount val="13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</c:numCache>
            </c:numRef>
          </c:cat>
          <c:val>
            <c:numRef>
              <c:f>'Ph 3'!$H$75:$T$75</c:f>
              <c:numCache>
                <c:formatCode>#,##0.00</c:formatCode>
                <c:ptCount val="13"/>
                <c:pt idx="0">
                  <c:v>0.1807218460551181</c:v>
                </c:pt>
                <c:pt idx="1">
                  <c:v>0.52559415437031098</c:v>
                </c:pt>
                <c:pt idx="2">
                  <c:v>0.79286542241426039</c:v>
                </c:pt>
                <c:pt idx="3">
                  <c:v>1.1897798825451757</c:v>
                </c:pt>
                <c:pt idx="4">
                  <c:v>1.6752635666808622</c:v>
                </c:pt>
                <c:pt idx="5">
                  <c:v>1.8142472319115324</c:v>
                </c:pt>
                <c:pt idx="6">
                  <c:v>2.0688369659412347</c:v>
                </c:pt>
                <c:pt idx="7">
                  <c:v>2.2127252641964335</c:v>
                </c:pt>
                <c:pt idx="8">
                  <c:v>2.3335311305346904</c:v>
                </c:pt>
                <c:pt idx="9">
                  <c:v>2.4311354736504796</c:v>
                </c:pt>
                <c:pt idx="10">
                  <c:v>2.5054294004321673</c:v>
                </c:pt>
                <c:pt idx="11">
                  <c:v>2.5562708104260268</c:v>
                </c:pt>
                <c:pt idx="12">
                  <c:v>2.5836880647249871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F33E-424F-8804-AB3191A171C1}"/>
            </c:ext>
          </c:extLst>
        </c:ser>
        <c:ser>
          <c:idx val="4"/>
          <c:order val="8"/>
          <c:tx>
            <c:strRef>
              <c:f>'Ph 3'!$G$73</c:f>
              <c:strCache>
                <c:ptCount val="1"/>
                <c:pt idx="0">
                  <c:v>Organic chemicals</c:v>
                </c:pt>
              </c:strCache>
            </c:strRef>
          </c:tx>
          <c:spPr>
            <a:ln w="28575" cap="rnd">
              <a:solidFill>
                <a:schemeClr val="bg1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'Ph 3'!$H$38:$T$38</c:f>
              <c:numCache>
                <c:formatCode>General</c:formatCode>
                <c:ptCount val="13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</c:numCache>
            </c:numRef>
          </c:cat>
          <c:val>
            <c:numRef>
              <c:f>'Ph 3'!$H$73:$T$73</c:f>
              <c:numCache>
                <c:formatCode>#,##0.00</c:formatCode>
                <c:ptCount val="13"/>
                <c:pt idx="0">
                  <c:v>0.16630386239881459</c:v>
                </c:pt>
                <c:pt idx="1">
                  <c:v>0.43467435685282318</c:v>
                </c:pt>
                <c:pt idx="2">
                  <c:v>0.61876063180161289</c:v>
                </c:pt>
                <c:pt idx="3">
                  <c:v>0.87779642344043451</c:v>
                </c:pt>
                <c:pt idx="4">
                  <c:v>1.2404538256693953</c:v>
                </c:pt>
                <c:pt idx="5">
                  <c:v>1.006343658397939</c:v>
                </c:pt>
                <c:pt idx="6">
                  <c:v>0.99009155674077132</c:v>
                </c:pt>
                <c:pt idx="7">
                  <c:v>0.92843244494303423</c:v>
                </c:pt>
                <c:pt idx="8">
                  <c:v>0.84915081451630736</c:v>
                </c:pt>
                <c:pt idx="9">
                  <c:v>0.75209197629656654</c:v>
                </c:pt>
                <c:pt idx="10">
                  <c:v>0.63711666596520344</c:v>
                </c:pt>
                <c:pt idx="11">
                  <c:v>0.50403831634433516</c:v>
                </c:pt>
                <c:pt idx="12">
                  <c:v>0.35282348857265011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F33E-424F-8804-AB3191A171C1}"/>
            </c:ext>
          </c:extLst>
        </c:ser>
        <c:ser>
          <c:idx val="9"/>
          <c:order val="9"/>
          <c:tx>
            <c:strRef>
              <c:f>'Ph 3'!$G$78</c:f>
              <c:strCache>
                <c:ptCount val="1"/>
                <c:pt idx="0">
                  <c:v>Inorganic chemicals</c:v>
                </c:pt>
              </c:strCache>
            </c:strRef>
          </c:tx>
          <c:spPr>
            <a:ln w="28575" cap="rnd">
              <a:solidFill>
                <a:schemeClr val="bg1">
                  <a:lumMod val="50000"/>
                </a:schemeClr>
              </a:solidFill>
              <a:prstDash val="sysDot"/>
              <a:round/>
            </a:ln>
            <a:effectLst/>
          </c:spPr>
          <c:marker>
            <c:symbol val="none"/>
          </c:marker>
          <c:cat>
            <c:numRef>
              <c:f>'Ph 3'!$H$38:$T$38</c:f>
              <c:numCache>
                <c:formatCode>General</c:formatCode>
                <c:ptCount val="13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</c:numCache>
            </c:numRef>
          </c:cat>
          <c:val>
            <c:numRef>
              <c:f>'Ph 3'!$H$78:$T$78</c:f>
              <c:numCache>
                <c:formatCode>#,##0.00</c:formatCode>
                <c:ptCount val="13"/>
                <c:pt idx="0">
                  <c:v>0.10783209378866934</c:v>
                </c:pt>
                <c:pt idx="1">
                  <c:v>0.42161892782534494</c:v>
                </c:pt>
                <c:pt idx="2">
                  <c:v>0.52403995983938989</c:v>
                </c:pt>
                <c:pt idx="3">
                  <c:v>0.65174223364137096</c:v>
                </c:pt>
                <c:pt idx="4">
                  <c:v>0.87549469783793643</c:v>
                </c:pt>
                <c:pt idx="5">
                  <c:v>0.59037627814594718</c:v>
                </c:pt>
                <c:pt idx="6">
                  <c:v>0.65888180525459883</c:v>
                </c:pt>
                <c:pt idx="7">
                  <c:v>0.70708806899517551</c:v>
                </c:pt>
                <c:pt idx="8">
                  <c:v>0.73502237826946915</c:v>
                </c:pt>
                <c:pt idx="9">
                  <c:v>0.74251745464239693</c:v>
                </c:pt>
                <c:pt idx="10">
                  <c:v>0.72942487991889049</c:v>
                </c:pt>
                <c:pt idx="11">
                  <c:v>0.69553795606311664</c:v>
                </c:pt>
                <c:pt idx="12">
                  <c:v>0.64083051661595614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F33E-424F-8804-AB3191A171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21428944"/>
        <c:axId val="521428552"/>
        <c:extLst>
          <c:ext xmlns:c15="http://schemas.microsoft.com/office/drawing/2012/chart" uri="{02D57815-91ED-43cb-92C2-25804820EDAC}">
            <c15:filteredLineSeries>
              <c15:ser>
                <c:idx val="3"/>
                <c:order val="4"/>
                <c:tx>
                  <c:strRef>
                    <c:extLst>
                      <c:ext uri="{02D57815-91ED-43cb-92C2-25804820EDAC}">
                        <c15:formulaRef>
                          <c15:sqref>'Ph 3'!$G$72</c15:sqref>
                        </c15:formulaRef>
                      </c:ext>
                    </c:extLst>
                    <c:strCache>
                      <c:ptCount val="1"/>
                      <c:pt idx="0">
                        <c:v>Steam and air conditioning</c:v>
                      </c:pt>
                    </c:strCache>
                  </c:strRef>
                </c:tx>
                <c:spPr>
                  <a:ln w="28575" cap="rnd">
                    <a:solidFill>
                      <a:schemeClr val="accent4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>
                      <c:ext uri="{02D57815-91ED-43cb-92C2-25804820EDAC}">
                        <c15:formulaRef>
                          <c15:sqref>'Ph 3'!$H$38:$T$38</c15:sqref>
                        </c15:formulaRef>
                      </c:ext>
                    </c:extLst>
                    <c:numCache>
                      <c:formatCode>General</c:formatCode>
                      <c:ptCount val="13"/>
                      <c:pt idx="0">
                        <c:v>2008</c:v>
                      </c:pt>
                      <c:pt idx="1">
                        <c:v>2009</c:v>
                      </c:pt>
                      <c:pt idx="2">
                        <c:v>2010</c:v>
                      </c:pt>
                      <c:pt idx="3">
                        <c:v>2011</c:v>
                      </c:pt>
                      <c:pt idx="4">
                        <c:v>2012</c:v>
                      </c:pt>
                      <c:pt idx="5">
                        <c:v>2013</c:v>
                      </c:pt>
                      <c:pt idx="6">
                        <c:v>2014</c:v>
                      </c:pt>
                      <c:pt idx="7">
                        <c:v>2015</c:v>
                      </c:pt>
                      <c:pt idx="8">
                        <c:v>2016</c:v>
                      </c:pt>
                      <c:pt idx="9">
                        <c:v>2017</c:v>
                      </c:pt>
                      <c:pt idx="10">
                        <c:v>2018</c:v>
                      </c:pt>
                      <c:pt idx="11">
                        <c:v>2019</c:v>
                      </c:pt>
                      <c:pt idx="12">
                        <c:v>2020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'Ph 3'!$H$72:$T$72</c15:sqref>
                        </c15:formulaRef>
                      </c:ext>
                    </c:extLst>
                    <c:numCache>
                      <c:formatCode>#,##0.00</c:formatCode>
                      <c:ptCount val="13"/>
                      <c:pt idx="0">
                        <c:v>3.0282207157892566E-2</c:v>
                      </c:pt>
                      <c:pt idx="1">
                        <c:v>0.11178528844517263</c:v>
                      </c:pt>
                      <c:pt idx="2">
                        <c:v>0.12662944322634379</c:v>
                      </c:pt>
                      <c:pt idx="3">
                        <c:v>0.31504075531810949</c:v>
                      </c:pt>
                      <c:pt idx="4">
                        <c:v>0.53120511068019871</c:v>
                      </c:pt>
                      <c:pt idx="5">
                        <c:v>7.1647213889227818E-2</c:v>
                      </c:pt>
                      <c:pt idx="6">
                        <c:v>-0.40442661907814476</c:v>
                      </c:pt>
                      <c:pt idx="7">
                        <c:v>-0.95541576789934957</c:v>
                      </c:pt>
                      <c:pt idx="8">
                        <c:v>-1.560276736899086</c:v>
                      </c:pt>
                      <c:pt idx="9">
                        <c:v>-2.2129283561077298</c:v>
                      </c:pt>
                      <c:pt idx="10">
                        <c:v>-2.9087619682937689</c:v>
                      </c:pt>
                      <c:pt idx="11">
                        <c:v>-3.643783132957032</c:v>
                      </c:pt>
                      <c:pt idx="12">
                        <c:v>-4.4155665831225468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8-F33E-424F-8804-AB3191A171C1}"/>
                  </c:ext>
                </c:extLst>
              </c15:ser>
            </c15:filteredLineSeries>
            <c15:filteredLine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'Ph 3'!$G$74</c15:sqref>
                        </c15:formulaRef>
                      </c:ext>
                    </c:extLst>
                    <c:strCache>
                      <c:ptCount val="1"/>
                      <c:pt idx="0">
                        <c:v>Fertilisers and nitrogen compounds</c:v>
                      </c:pt>
                    </c:strCache>
                  </c:strRef>
                </c:tx>
                <c:spPr>
                  <a:ln w="28575" cap="rnd">
                    <a:solidFill>
                      <a:schemeClr val="accent6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'Ph 3'!$H$38:$T$38</c15:sqref>
                        </c15:formulaRef>
                      </c:ext>
                    </c:extLst>
                    <c:numCache>
                      <c:formatCode>General</c:formatCode>
                      <c:ptCount val="13"/>
                      <c:pt idx="0">
                        <c:v>2008</c:v>
                      </c:pt>
                      <c:pt idx="1">
                        <c:v>2009</c:v>
                      </c:pt>
                      <c:pt idx="2">
                        <c:v>2010</c:v>
                      </c:pt>
                      <c:pt idx="3">
                        <c:v>2011</c:v>
                      </c:pt>
                      <c:pt idx="4">
                        <c:v>2012</c:v>
                      </c:pt>
                      <c:pt idx="5">
                        <c:v>2013</c:v>
                      </c:pt>
                      <c:pt idx="6">
                        <c:v>2014</c:v>
                      </c:pt>
                      <c:pt idx="7">
                        <c:v>2015</c:v>
                      </c:pt>
                      <c:pt idx="8">
                        <c:v>2016</c:v>
                      </c:pt>
                      <c:pt idx="9">
                        <c:v>2017</c:v>
                      </c:pt>
                      <c:pt idx="10">
                        <c:v>2018</c:v>
                      </c:pt>
                      <c:pt idx="11">
                        <c:v>2019</c:v>
                      </c:pt>
                      <c:pt idx="12">
                        <c:v>2020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'Ph 3'!$H$74:$T$74</c15:sqref>
                        </c15:formulaRef>
                      </c:ext>
                    </c:extLst>
                    <c:numCache>
                      <c:formatCode>#,##0.00</c:formatCode>
                      <c:ptCount val="13"/>
                      <c:pt idx="0">
                        <c:v>6.9799312105636988E-2</c:v>
                      </c:pt>
                      <c:pt idx="1">
                        <c:v>0.42980738633478199</c:v>
                      </c:pt>
                      <c:pt idx="2">
                        <c:v>0.5682919595578465</c:v>
                      </c:pt>
                      <c:pt idx="3">
                        <c:v>0.67506185261704754</c:v>
                      </c:pt>
                      <c:pt idx="4">
                        <c:v>0.86744308543818727</c:v>
                      </c:pt>
                      <c:pt idx="5">
                        <c:v>8.837064258190723E-2</c:v>
                      </c:pt>
                      <c:pt idx="6">
                        <c:v>-3.5751002591046847E-2</c:v>
                      </c:pt>
                      <c:pt idx="7">
                        <c:v>-0.18701961537478132</c:v>
                      </c:pt>
                      <c:pt idx="8">
                        <c:v>-0.35448483803810454</c:v>
                      </c:pt>
                      <c:pt idx="9">
                        <c:v>-0.53826448609537003</c:v>
                      </c:pt>
                      <c:pt idx="10">
                        <c:v>-0.73844475874568749</c:v>
                      </c:pt>
                      <c:pt idx="11">
                        <c:v>-0.95514436630478528</c:v>
                      </c:pt>
                      <c:pt idx="12">
                        <c:v>-1.1883984500630205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F33E-424F-8804-AB3191A171C1}"/>
                  </c:ext>
                </c:extLst>
              </c15:ser>
            </c15:filteredLineSeries>
            <c15:filteredLineSeries>
              <c15:ser>
                <c:idx val="8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'Ph 3'!$G$77</c15:sqref>
                        </c15:formulaRef>
                      </c:ext>
                    </c:extLst>
                    <c:strCache>
                      <c:ptCount val="1"/>
                      <c:pt idx="0">
                        <c:v>Crude petroleum extraction</c:v>
                      </c:pt>
                    </c:strCache>
                  </c:strRef>
                </c:tx>
                <c:spPr>
                  <a:ln w="28575" cap="rnd">
                    <a:solidFill>
                      <a:schemeClr val="accent3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'Ph 3'!$H$38:$T$38</c15:sqref>
                        </c15:formulaRef>
                      </c:ext>
                    </c:extLst>
                    <c:numCache>
                      <c:formatCode>General</c:formatCode>
                      <c:ptCount val="13"/>
                      <c:pt idx="0">
                        <c:v>2008</c:v>
                      </c:pt>
                      <c:pt idx="1">
                        <c:v>2009</c:v>
                      </c:pt>
                      <c:pt idx="2">
                        <c:v>2010</c:v>
                      </c:pt>
                      <c:pt idx="3">
                        <c:v>2011</c:v>
                      </c:pt>
                      <c:pt idx="4">
                        <c:v>2012</c:v>
                      </c:pt>
                      <c:pt idx="5">
                        <c:v>2013</c:v>
                      </c:pt>
                      <c:pt idx="6">
                        <c:v>2014</c:v>
                      </c:pt>
                      <c:pt idx="7">
                        <c:v>2015</c:v>
                      </c:pt>
                      <c:pt idx="8">
                        <c:v>2016</c:v>
                      </c:pt>
                      <c:pt idx="9">
                        <c:v>2017</c:v>
                      </c:pt>
                      <c:pt idx="10">
                        <c:v>2018</c:v>
                      </c:pt>
                      <c:pt idx="11">
                        <c:v>2019</c:v>
                      </c:pt>
                      <c:pt idx="12">
                        <c:v>2020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'Ph 3'!$H$77:$T$77</c15:sqref>
                        </c15:formulaRef>
                      </c:ext>
                    </c:extLst>
                    <c:numCache>
                      <c:formatCode>#,##0.00</c:formatCode>
                      <c:ptCount val="13"/>
                      <c:pt idx="0">
                        <c:v>-0.37555046813582721</c:v>
                      </c:pt>
                      <c:pt idx="1">
                        <c:v>-0.72592276809174139</c:v>
                      </c:pt>
                      <c:pt idx="2">
                        <c:v>-1.0130805000145249</c:v>
                      </c:pt>
                      <c:pt idx="3">
                        <c:v>-1.3252432594865671</c:v>
                      </c:pt>
                      <c:pt idx="4">
                        <c:v>-1.5940569368991764</c:v>
                      </c:pt>
                      <c:pt idx="5">
                        <c:v>-1.949424483667723</c:v>
                      </c:pt>
                      <c:pt idx="6">
                        <c:v>-2.31431901910589</c:v>
                      </c:pt>
                      <c:pt idx="7">
                        <c:v>-2.710346525132199</c:v>
                      </c:pt>
                      <c:pt idx="8">
                        <c:v>-3.1174807763777257</c:v>
                      </c:pt>
                      <c:pt idx="9">
                        <c:v>-3.535838789912968</c:v>
                      </c:pt>
                      <c:pt idx="10">
                        <c:v>-3.9655270781444742</c:v>
                      </c:pt>
                      <c:pt idx="11">
                        <c:v>-4.4066831090831879</c:v>
                      </c:pt>
                      <c:pt idx="12">
                        <c:v>-4.859361500001798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A-F33E-424F-8804-AB3191A171C1}"/>
                  </c:ext>
                </c:extLst>
              </c15:ser>
            </c15:filteredLineSeries>
            <c15:filteredLineSeries>
              <c15:ser>
                <c:idx val="10"/>
                <c:order val="1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'Ph 3'!$G$79</c15:sqref>
                        </c15:formulaRef>
                      </c:ext>
                    </c:extLst>
                    <c:strCache>
                      <c:ptCount val="1"/>
                      <c:pt idx="0">
                        <c:v>Aluminium</c:v>
                      </c:pt>
                    </c:strCache>
                  </c:strRef>
                </c:tx>
                <c:spPr>
                  <a:ln w="28575" cap="rnd">
                    <a:solidFill>
                      <a:schemeClr val="accent5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'Ph 3'!$H$38:$T$38</c15:sqref>
                        </c15:formulaRef>
                      </c:ext>
                    </c:extLst>
                    <c:numCache>
                      <c:formatCode>General</c:formatCode>
                      <c:ptCount val="13"/>
                      <c:pt idx="0">
                        <c:v>2008</c:v>
                      </c:pt>
                      <c:pt idx="1">
                        <c:v>2009</c:v>
                      </c:pt>
                      <c:pt idx="2">
                        <c:v>2010</c:v>
                      </c:pt>
                      <c:pt idx="3">
                        <c:v>2011</c:v>
                      </c:pt>
                      <c:pt idx="4">
                        <c:v>2012</c:v>
                      </c:pt>
                      <c:pt idx="5">
                        <c:v>2013</c:v>
                      </c:pt>
                      <c:pt idx="6">
                        <c:v>2014</c:v>
                      </c:pt>
                      <c:pt idx="7">
                        <c:v>2015</c:v>
                      </c:pt>
                      <c:pt idx="8">
                        <c:v>2016</c:v>
                      </c:pt>
                      <c:pt idx="9">
                        <c:v>2017</c:v>
                      </c:pt>
                      <c:pt idx="10">
                        <c:v>2018</c:v>
                      </c:pt>
                      <c:pt idx="11">
                        <c:v>2019</c:v>
                      </c:pt>
                      <c:pt idx="12">
                        <c:v>2020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'Ph 3'!$H$79:$T$79</c15:sqref>
                        </c15:formulaRef>
                      </c:ext>
                    </c:extLst>
                    <c:numCache>
                      <c:formatCode>#,##0.00</c:formatCode>
                      <c:ptCount val="13"/>
                      <c:pt idx="0">
                        <c:v>0.67067372218677501</c:v>
                      </c:pt>
                      <c:pt idx="1">
                        <c:v>1.6976220461086027</c:v>
                      </c:pt>
                      <c:pt idx="2">
                        <c:v>1.6968848433328521</c:v>
                      </c:pt>
                      <c:pt idx="3">
                        <c:v>2.0799477684195344</c:v>
                      </c:pt>
                      <c:pt idx="4">
                        <c:v>2.4880151436130653</c:v>
                      </c:pt>
                      <c:pt idx="5">
                        <c:v>0.33297349178666585</c:v>
                      </c:pt>
                      <c:pt idx="6">
                        <c:v>0.24533562862253036</c:v>
                      </c:pt>
                      <c:pt idx="7">
                        <c:v>0.13192130333419375</c:v>
                      </c:pt>
                      <c:pt idx="8">
                        <c:v>2.0519270611298324E-3</c:v>
                      </c:pt>
                      <c:pt idx="9">
                        <c:v>-0.14442767054252878</c:v>
                      </c:pt>
                      <c:pt idx="10">
                        <c:v>-0.30765841212812112</c:v>
                      </c:pt>
                      <c:pt idx="11">
                        <c:v>-0.48782551772452049</c:v>
                      </c:pt>
                      <c:pt idx="12">
                        <c:v>-0.68497604789850386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B-F33E-424F-8804-AB3191A171C1}"/>
                  </c:ext>
                </c:extLst>
              </c15:ser>
            </c15:filteredLineSeries>
          </c:ext>
        </c:extLst>
      </c:lineChart>
      <c:catAx>
        <c:axId val="521428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1428552"/>
        <c:crosses val="autoZero"/>
        <c:auto val="1"/>
        <c:lblAlgn val="ctr"/>
        <c:lblOffset val="100"/>
        <c:noMultiLvlLbl val="0"/>
      </c:catAx>
      <c:valAx>
        <c:axId val="521428552"/>
        <c:scaling>
          <c:orientation val="minMax"/>
          <c:max val="3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Years' worth of spare EUAs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1428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077076707640745"/>
          <c:y val="0"/>
          <c:w val="0.33231736927703504"/>
          <c:h val="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55531668887404"/>
          <c:y val="4.5948203842940703E-2"/>
          <c:w val="0.81944115695355602"/>
          <c:h val="0.58645037791328702"/>
        </c:manualLayout>
      </c:layout>
      <c:barChart>
        <c:barDir val="col"/>
        <c:grouping val="clustered"/>
        <c:varyColors val="0"/>
        <c:ser>
          <c:idx val="5"/>
          <c:order val="5"/>
          <c:tx>
            <c:strRef>
              <c:f>'All comp'!$L$3</c:f>
              <c:strCache>
                <c:ptCount val="1"/>
                <c:pt idx="0">
                  <c:v>Phase 3</c:v>
                </c:pt>
              </c:strCache>
            </c:strRef>
          </c:tx>
          <c:spPr>
            <a:solidFill>
              <a:sysClr val="window" lastClr="FFFFFF">
                <a:lumMod val="85000"/>
              </a:sysClr>
            </a:solidFill>
            <a:ln>
              <a:noFill/>
            </a:ln>
            <a:effectLst/>
          </c:spPr>
          <c:invertIfNegative val="0"/>
          <c:val>
            <c:numRef>
              <c:f>'All comp'!$L$4:$L$16</c:f>
              <c:numCache>
                <c:formatCode>General</c:formatCode>
                <c:ptCount val="13"/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1C-4770-A227-1E6453502F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520030664"/>
        <c:axId val="521467232"/>
      </c:barChart>
      <c:lineChart>
        <c:grouping val="standard"/>
        <c:varyColors val="0"/>
        <c:ser>
          <c:idx val="0"/>
          <c:order val="0"/>
          <c:tx>
            <c:strRef>
              <c:f>'All comp'!$F$3</c:f>
              <c:strCache>
                <c:ptCount val="1"/>
                <c:pt idx="0">
                  <c:v>Lafarge-Holcim</c:v>
                </c:pt>
              </c:strCache>
            </c:strRef>
          </c:tx>
          <c:spPr>
            <a:ln w="28575" cap="rnd">
              <a:solidFill>
                <a:srgbClr val="002060"/>
              </a:solidFill>
              <a:round/>
            </a:ln>
            <a:effectLst/>
          </c:spPr>
          <c:marker>
            <c:symbol val="none"/>
          </c:marker>
          <c:cat>
            <c:numRef>
              <c:f>'All comp'!$E$4:$E$16</c:f>
              <c:numCache>
                <c:formatCode>General</c:formatCode>
                <c:ptCount val="13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</c:numCache>
            </c:numRef>
          </c:cat>
          <c:val>
            <c:numRef>
              <c:f>'All comp'!$F$4:$F$16</c:f>
              <c:numCache>
                <c:formatCode>#,##0.00</c:formatCode>
                <c:ptCount val="13"/>
                <c:pt idx="0">
                  <c:v>2.4004079999999992</c:v>
                </c:pt>
                <c:pt idx="1">
                  <c:v>11.056169000000001</c:v>
                </c:pt>
                <c:pt idx="2">
                  <c:v>20.31432400000001</c:v>
                </c:pt>
                <c:pt idx="3">
                  <c:v>30.764521999999999</c:v>
                </c:pt>
                <c:pt idx="4">
                  <c:v>45.853034000000001</c:v>
                </c:pt>
                <c:pt idx="5">
                  <c:v>51.056692000000012</c:v>
                </c:pt>
                <c:pt idx="6">
                  <c:v>54.539030000000011</c:v>
                </c:pt>
                <c:pt idx="7">
                  <c:v>57.493336000000021</c:v>
                </c:pt>
                <c:pt idx="8">
                  <c:v>60.057785000000003</c:v>
                </c:pt>
                <c:pt idx="9">
                  <c:v>62.228176000000047</c:v>
                </c:pt>
                <c:pt idx="10">
                  <c:v>64.000672000000009</c:v>
                </c:pt>
                <c:pt idx="11">
                  <c:v>65.370315999999974</c:v>
                </c:pt>
                <c:pt idx="12">
                  <c:v>66.335703000000038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91C-4770-A227-1E6453502F38}"/>
            </c:ext>
          </c:extLst>
        </c:ser>
        <c:ser>
          <c:idx val="1"/>
          <c:order val="1"/>
          <c:tx>
            <c:strRef>
              <c:f>'All comp'!$G$3</c:f>
              <c:strCache>
                <c:ptCount val="1"/>
                <c:pt idx="0">
                  <c:v>Heidelberg-Italcementi</c:v>
                </c:pt>
              </c:strCache>
            </c:strRef>
          </c:tx>
          <c:spPr>
            <a:ln w="28575" cap="rnd">
              <a:solidFill>
                <a:srgbClr val="00206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'All comp'!$E$4:$E$16</c:f>
              <c:numCache>
                <c:formatCode>General</c:formatCode>
                <c:ptCount val="13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</c:numCache>
            </c:numRef>
          </c:cat>
          <c:val>
            <c:numRef>
              <c:f>'All comp'!$G$4:$G$16</c:f>
              <c:numCache>
                <c:formatCode>#,##0.00</c:formatCode>
                <c:ptCount val="13"/>
                <c:pt idx="0">
                  <c:v>2.1339720000000022</c:v>
                </c:pt>
                <c:pt idx="1">
                  <c:v>11.003957</c:v>
                </c:pt>
                <c:pt idx="2">
                  <c:v>21.033925</c:v>
                </c:pt>
                <c:pt idx="3">
                  <c:v>29.568380999999999</c:v>
                </c:pt>
                <c:pt idx="4">
                  <c:v>39.912313000000012</c:v>
                </c:pt>
                <c:pt idx="5">
                  <c:v>44.762597</c:v>
                </c:pt>
                <c:pt idx="6">
                  <c:v>45.810679999999998</c:v>
                </c:pt>
                <c:pt idx="7">
                  <c:v>46.195271000000012</c:v>
                </c:pt>
                <c:pt idx="8">
                  <c:v>46.054890999999998</c:v>
                </c:pt>
                <c:pt idx="9">
                  <c:v>45.383834</c:v>
                </c:pt>
                <c:pt idx="10">
                  <c:v>44.176890000000007</c:v>
                </c:pt>
                <c:pt idx="11">
                  <c:v>42.427323000000008</c:v>
                </c:pt>
                <c:pt idx="12">
                  <c:v>40.133234000000009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91C-4770-A227-1E6453502F38}"/>
            </c:ext>
          </c:extLst>
        </c:ser>
        <c:ser>
          <c:idx val="2"/>
          <c:order val="2"/>
          <c:tx>
            <c:strRef>
              <c:f>'All comp'!$H$3</c:f>
              <c:strCache>
                <c:ptCount val="1"/>
                <c:pt idx="0">
                  <c:v>Cemex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numRef>
              <c:f>'All comp'!$E$4:$E$16</c:f>
              <c:numCache>
                <c:formatCode>General</c:formatCode>
                <c:ptCount val="13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</c:numCache>
            </c:numRef>
          </c:cat>
          <c:val>
            <c:numRef>
              <c:f>'All comp'!$H$4:$H$16</c:f>
              <c:numCache>
                <c:formatCode>#,##0.0</c:formatCode>
                <c:ptCount val="13"/>
                <c:pt idx="0">
                  <c:v>2.4412569999999998</c:v>
                </c:pt>
                <c:pt idx="1">
                  <c:v>7.2305379999999966</c:v>
                </c:pt>
                <c:pt idx="2">
                  <c:v>11.695535</c:v>
                </c:pt>
                <c:pt idx="3">
                  <c:v>16.02003599999999</c:v>
                </c:pt>
                <c:pt idx="4">
                  <c:v>21.72238699999998</c:v>
                </c:pt>
                <c:pt idx="5">
                  <c:v>25.17226299999999</c:v>
                </c:pt>
                <c:pt idx="6">
                  <c:v>26.189975</c:v>
                </c:pt>
                <c:pt idx="7">
                  <c:v>27.046373999999989</c:v>
                </c:pt>
                <c:pt idx="8">
                  <c:v>27.739774999999991</c:v>
                </c:pt>
                <c:pt idx="9">
                  <c:v>28.26842599999998</c:v>
                </c:pt>
                <c:pt idx="10">
                  <c:v>28.630722999999989</c:v>
                </c:pt>
                <c:pt idx="11">
                  <c:v>28.824587999999999</c:v>
                </c:pt>
                <c:pt idx="12">
                  <c:v>28.849442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91C-4770-A227-1E6453502F38}"/>
            </c:ext>
          </c:extLst>
        </c:ser>
        <c:ser>
          <c:idx val="3"/>
          <c:order val="3"/>
          <c:tx>
            <c:strRef>
              <c:f>'All comp'!$I$3</c:f>
              <c:strCache>
                <c:ptCount val="1"/>
                <c:pt idx="0">
                  <c:v>Buzzi</c:v>
                </c:pt>
              </c:strCache>
            </c:strRef>
          </c:tx>
          <c:spPr>
            <a:ln w="28575" cap="rnd">
              <a:solidFill>
                <a:schemeClr val="accent3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'All comp'!$E$4:$E$16</c:f>
              <c:numCache>
                <c:formatCode>General</c:formatCode>
                <c:ptCount val="13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</c:numCache>
            </c:numRef>
          </c:cat>
          <c:val>
            <c:numRef>
              <c:f>'All comp'!$I$4:$I$16</c:f>
              <c:numCache>
                <c:formatCode>#,##0.0</c:formatCode>
                <c:ptCount val="13"/>
                <c:pt idx="0">
                  <c:v>0.485402000000001</c:v>
                </c:pt>
                <c:pt idx="1">
                  <c:v>2.261982000000001</c:v>
                </c:pt>
                <c:pt idx="2">
                  <c:v>3.6843720000000011</c:v>
                </c:pt>
                <c:pt idx="3">
                  <c:v>4.9254799999999976</c:v>
                </c:pt>
                <c:pt idx="4">
                  <c:v>7.5096980000000029</c:v>
                </c:pt>
                <c:pt idx="5">
                  <c:v>8.6077520000000014</c:v>
                </c:pt>
                <c:pt idx="6">
                  <c:v>9.8474810000000037</c:v>
                </c:pt>
                <c:pt idx="7">
                  <c:v>10.93393</c:v>
                </c:pt>
                <c:pt idx="8">
                  <c:v>11.865505000000001</c:v>
                </c:pt>
                <c:pt idx="9">
                  <c:v>12.640532</c:v>
                </c:pt>
                <c:pt idx="10">
                  <c:v>13.257491999999999</c:v>
                </c:pt>
                <c:pt idx="11">
                  <c:v>13.714415000000001</c:v>
                </c:pt>
                <c:pt idx="12">
                  <c:v>14.01075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491C-4770-A227-1E6453502F38}"/>
            </c:ext>
          </c:extLst>
        </c:ser>
        <c:ser>
          <c:idx val="4"/>
          <c:order val="4"/>
          <c:tx>
            <c:strRef>
              <c:f>'All comp'!$J$3</c:f>
              <c:strCache>
                <c:ptCount val="1"/>
                <c:pt idx="0">
                  <c:v>CRH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'All comp'!$E$4:$E$16</c:f>
              <c:numCache>
                <c:formatCode>General</c:formatCode>
                <c:ptCount val="13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</c:numCache>
            </c:numRef>
          </c:cat>
          <c:val>
            <c:numRef>
              <c:f>'All comp'!$J$4:$J$16</c:f>
              <c:numCache>
                <c:formatCode>#,##0.00</c:formatCode>
                <c:ptCount val="13"/>
                <c:pt idx="0">
                  <c:v>2.175478</c:v>
                </c:pt>
                <c:pt idx="1">
                  <c:v>8.7529850000000042</c:v>
                </c:pt>
                <c:pt idx="2">
                  <c:v>15.831381</c:v>
                </c:pt>
                <c:pt idx="3">
                  <c:v>22.384258999999989</c:v>
                </c:pt>
                <c:pt idx="4">
                  <c:v>29.304068000000001</c:v>
                </c:pt>
                <c:pt idx="5">
                  <c:v>31.641678999999989</c:v>
                </c:pt>
                <c:pt idx="6">
                  <c:v>31.898637999999981</c:v>
                </c:pt>
                <c:pt idx="7">
                  <c:v>32.286673</c:v>
                </c:pt>
                <c:pt idx="8">
                  <c:v>32.478029999999997</c:v>
                </c:pt>
                <c:pt idx="9">
                  <c:v>32.470612000000003</c:v>
                </c:pt>
                <c:pt idx="10">
                  <c:v>32.262498000000001</c:v>
                </c:pt>
                <c:pt idx="11">
                  <c:v>31.851206000000001</c:v>
                </c:pt>
                <c:pt idx="12">
                  <c:v>31.236038999999991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491C-4770-A227-1E6453502F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21466840"/>
        <c:axId val="521467624"/>
      </c:lineChart>
      <c:catAx>
        <c:axId val="521466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1467624"/>
        <c:crosses val="autoZero"/>
        <c:auto val="1"/>
        <c:lblAlgn val="ctr"/>
        <c:lblOffset val="100"/>
        <c:noMultiLvlLbl val="0"/>
      </c:catAx>
      <c:valAx>
        <c:axId val="521467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Million EUAs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1466840"/>
        <c:crosses val="autoZero"/>
        <c:crossBetween val="between"/>
      </c:valAx>
      <c:valAx>
        <c:axId val="521467232"/>
        <c:scaling>
          <c:orientation val="minMax"/>
          <c:max val="1"/>
        </c:scaling>
        <c:delete val="0"/>
        <c:axPos val="r"/>
        <c:numFmt formatCode="General" sourceLinked="1"/>
        <c:majorTickMark val="out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0030664"/>
        <c:crosses val="max"/>
        <c:crossBetween val="between"/>
      </c:valAx>
      <c:catAx>
        <c:axId val="520030664"/>
        <c:scaling>
          <c:orientation val="minMax"/>
        </c:scaling>
        <c:delete val="1"/>
        <c:axPos val="b"/>
        <c:majorTickMark val="out"/>
        <c:minorTickMark val="none"/>
        <c:tickLblPos val="nextTo"/>
        <c:crossAx val="52146723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2827120545639901E-2"/>
          <c:y val="0.73788342246692895"/>
          <c:w val="0.97606600217544504"/>
          <c:h val="0.2370539208914680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65F81-D23D-425C-A8BB-834EBB610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Luta</dc:creator>
  <cp:keywords/>
  <dc:description/>
  <cp:lastModifiedBy>Phil MacD</cp:lastModifiedBy>
  <cp:revision>3</cp:revision>
  <cp:lastPrinted>2016-03-15T17:21:00Z</cp:lastPrinted>
  <dcterms:created xsi:type="dcterms:W3CDTF">2016-03-15T17:16:00Z</dcterms:created>
  <dcterms:modified xsi:type="dcterms:W3CDTF">2016-03-15T17:24:00Z</dcterms:modified>
</cp:coreProperties>
</file>